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tterhead"/>
        <w:rPr>
          <w:sz w:val="24"/>
        </w:rPr>
      </w:pPr>
      <w:r>
        <w:rPr/>
        <w:t>AN</w:t>
      </w:r>
      <w:r>
        <w:fldChar w:fldCharType="begin"/>
      </w:r>
      <w:r>
        <w:rPr/>
        <w:instrText xml:space="preserve">ADVANCE \l 1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DR</w:t>
      </w:r>
      <w:r>
        <w:fldChar w:fldCharType="begin"/>
      </w:r>
      <w:r>
        <w:rPr/>
        <w:instrText xml:space="preserve">ADVANCE \l 1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 xml:space="preserve">EwS 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>
          <w:rFonts w:cs="GoudyOlSt BT" w:ascii="GoudyOlSt BT" w:hAnsi="GoudyOlSt BT"/>
        </w:rPr>
        <w:t>&amp;</w:t>
      </w:r>
      <w:r>
        <w:fldChar w:fldCharType="begin"/>
      </w:r>
      <w:r>
        <w:rPr>
          <w:rFonts w:cs="GoudyOlSt BT" w:ascii="GoudyOlSt BT" w:hAnsi="GoudyOlSt BT"/>
        </w:rPr>
        <w:instrText xml:space="preserve">ADVANCE \l 1</w:instrText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  <w:fldChar w:fldCharType="separate"/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  <w:fldChar w:fldCharType="end"/>
      </w:r>
      <w:r>
        <w:rPr/>
        <w:t xml:space="preserve"> KU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R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TH L.L.P</w:t>
      </w:r>
      <w:r>
        <w:fldChar w:fldCharType="begin"/>
      </w:r>
      <w:r>
        <w:rPr/>
        <w:instrText xml:space="preserve">ADVANCE \l 2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.</w:t>
      </w:r>
    </w:p>
    <w:p>
      <w:pPr>
        <w:pStyle w:val="MemoAddress"/>
        <w:rPr>
          <w:sz w:val="30"/>
        </w:rPr>
      </w:pPr>
      <w:r>
        <w:rPr/>
        <w:t>ATTORNEY</w:t>
      </w:r>
      <w:r>
        <w:fldChar w:fldCharType="begin"/>
      </w:r>
      <w:r>
        <w:rPr/>
        <w:instrText xml:space="preserve">ADVANCE \r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S</w:t>
      </w:r>
    </w:p>
    <w:p>
      <w:pPr>
        <w:pStyle w:val="MemoAddress"/>
        <w:rPr>
          <w:sz w:val="10"/>
        </w:rPr>
      </w:pPr>
      <w:r>
        <w:rPr>
          <w:sz w:val="10"/>
        </w:rPr>
      </w:r>
    </w:p>
    <w:p>
      <w:pPr>
        <w:pStyle w:val="MemoAddress"/>
        <w:rPr>
          <w:rFonts w:ascii="GoudyTrajanRegular" w:hAnsi="GoudyTrajanRegular" w:cs="GoudyTrajanRegular"/>
          <w:sz w:val="13"/>
        </w:rPr>
      </w:pPr>
      <w:r>
        <w:rPr>
          <w:rFonts w:cs="GoudyOlSt BT" w:ascii="GoudyOlSt BT" w:hAnsi="GoudyOlSt BT"/>
        </w:rPr>
        <w:t xml:space="preserve">1701 </w:t>
      </w:r>
      <w:r>
        <w:rPr>
          <w:rFonts w:cs="GoudyTrajanRegular" w:ascii="GoudyTrajanRegular" w:hAnsi="GoudyTrajanRegular"/>
        </w:rPr>
        <w:t>PENNSYLVANIE AVENUE, N.W., Suite 300</w:t>
      </w:r>
    </w:p>
    <w:p>
      <w:pPr>
        <w:pStyle w:val="MemoAddress"/>
        <w:rPr>
          <w:rFonts w:ascii="GoudyTrajanRegular" w:hAnsi="GoudyTrajanRegular" w:cs="GoudyTrajanRegular"/>
          <w:sz w:val="13"/>
        </w:rPr>
      </w:pPr>
      <w:r>
        <w:rPr>
          <w:rFonts w:cs="GoudyTrajanRegular" w:ascii="GoudyTrajanRegular" w:hAnsi="GoudyTrajanRegular"/>
          <w:sz w:val="13"/>
        </w:rPr>
        <w:t xml:space="preserve">Washington, D.C. </w:t>
      </w:r>
      <w:r>
        <w:rPr>
          <w:rFonts w:cs="GoudyOlSt BT" w:ascii="GoudyOlSt BT" w:hAnsi="GoudyOlSt BT"/>
          <w:sz w:val="13"/>
        </w:rPr>
        <w:t>20006-5805</w:t>
      </w:r>
    </w:p>
    <w:p>
      <w:pPr>
        <w:pStyle w:val="Normal"/>
        <w:jc w:val="center"/>
        <w:rPr>
          <w:rFonts w:ascii="GoudyTrajanBold" w:hAnsi="GoudyTrajanBold" w:cs="GoudyTrajanBold"/>
          <w:sz w:val="30"/>
        </w:rPr>
      </w:pPr>
      <w:r>
        <w:rPr>
          <w:rFonts w:cs="GoudyTrajanBold" w:ascii="GoudyTrajanBold" w:hAnsi="GoudyTrajanBold"/>
          <w:sz w:val="30"/>
        </w:rPr>
      </w:r>
    </w:p>
    <w:p>
      <w:pPr>
        <w:pStyle w:val="MemoTitle"/>
        <w:rPr/>
      </w:pPr>
      <w:r>
        <w:rPr/>
        <w:t>memorandum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50"/>
        <w:gridCol w:w="8226"/>
      </w:tblGrid>
      <w:tr>
        <w:trPr/>
        <w:tc>
          <w:tcPr>
            <w:tcW w:w="1350" w:type="dxa"/>
            <w:tcBorders>
              <w:top w:val="double" w:sz="4" w:space="0" w:color="000000"/>
            </w:tcBorders>
          </w:tcPr>
          <w:p>
            <w:pPr>
              <w:pStyle w:val="memoheads"/>
              <w:rPr/>
            </w:pPr>
            <w:r>
              <w:rPr/>
              <w:t xml:space="preserve">TO: </w:t>
            </w:r>
          </w:p>
        </w:tc>
        <w:tc>
          <w:tcPr>
            <w:tcW w:w="8226" w:type="dxa"/>
            <w:tcBorders>
              <w:top w:val="double" w:sz="4" w:space="0" w:color="000000"/>
            </w:tcBorders>
          </w:tcPr>
          <w:p>
            <w:pPr>
              <w:pStyle w:val="tabletext"/>
              <w:rPr/>
            </w:pPr>
            <w:r>
              <w:rPr/>
              <w:t>Kay Mann</w:t>
            </w:r>
          </w:p>
        </w:tc>
      </w:tr>
      <w:tr>
        <w:trPr/>
        <w:tc>
          <w:tcPr>
            <w:tcW w:w="1350" w:type="dxa"/>
            <w:tcBorders/>
            <w:tcMar>
              <w:top w:w="173" w:type="dxa"/>
            </w:tcMar>
          </w:tcPr>
          <w:p>
            <w:pPr>
              <w:pStyle w:val="memoheads"/>
              <w:rPr/>
            </w:pPr>
            <w:r>
              <w:rPr/>
              <w:t xml:space="preserve">FROM: </w:t>
            </w:r>
          </w:p>
        </w:tc>
        <w:tc>
          <w:tcPr>
            <w:tcW w:w="8226" w:type="dxa"/>
            <w:tcBorders/>
            <w:tcMar>
              <w:top w:w="173" w:type="dxa"/>
            </w:tcMar>
          </w:tcPr>
          <w:p>
            <w:pPr>
              <w:pStyle w:val="tabletext"/>
              <w:rPr/>
            </w:pPr>
            <w:r>
              <w:rPr/>
              <w:t>Peter Thompson</w:t>
            </w:r>
          </w:p>
          <w:p>
            <w:pPr>
              <w:pStyle w:val="tabletext"/>
              <w:rPr/>
            </w:pPr>
            <w:r>
              <w:rPr/>
              <w:t>Chris Cobb</w:t>
            </w:r>
          </w:p>
        </w:tc>
      </w:tr>
      <w:tr>
        <w:trPr/>
        <w:tc>
          <w:tcPr>
            <w:tcW w:w="1350" w:type="dxa"/>
            <w:tcBorders/>
            <w:tcMar>
              <w:top w:w="173" w:type="dxa"/>
            </w:tcMar>
          </w:tcPr>
          <w:p>
            <w:pPr>
              <w:pStyle w:val="memoheads"/>
              <w:rPr/>
            </w:pPr>
            <w:r>
              <w:rPr/>
              <w:t xml:space="preserve">DATE: </w:t>
            </w:r>
          </w:p>
        </w:tc>
        <w:tc>
          <w:tcPr>
            <w:tcW w:w="8226" w:type="dxa"/>
            <w:tcBorders/>
            <w:tcMar>
              <w:top w:w="173" w:type="dxa"/>
            </w:tcMar>
          </w:tcPr>
          <w:p>
            <w:pPr>
              <w:pStyle w:val="tabletext"/>
              <w:rPr/>
            </w:pPr>
            <w:r>
              <w:rPr/>
              <w:t>November 14, 2000</w:t>
            </w:r>
          </w:p>
        </w:tc>
      </w:tr>
      <w:tr>
        <w:trPr/>
        <w:tc>
          <w:tcPr>
            <w:tcW w:w="1350" w:type="dxa"/>
            <w:tcBorders>
              <w:bottom w:val="double" w:sz="4" w:space="0" w:color="000000"/>
            </w:tcBorders>
            <w:tcMar>
              <w:top w:w="173" w:type="dxa"/>
            </w:tcMar>
          </w:tcPr>
          <w:p>
            <w:pPr>
              <w:pStyle w:val="memoheads"/>
              <w:rPr/>
            </w:pPr>
            <w:r>
              <w:rPr/>
              <w:t xml:space="preserve">SUBJECT: </w:t>
            </w:r>
          </w:p>
        </w:tc>
        <w:tc>
          <w:tcPr>
            <w:tcW w:w="8226" w:type="dxa"/>
            <w:tcBorders>
              <w:bottom w:val="double" w:sz="4" w:space="0" w:color="000000"/>
            </w:tcBorders>
            <w:tcMar>
              <w:top w:w="173" w:type="dxa"/>
            </w:tcMar>
          </w:tcPr>
          <w:p>
            <w:pPr>
              <w:pStyle w:val="tabletext"/>
              <w:rPr>
                <w:rFonts w:ascii="EngraversGothic BT" w:hAnsi="EngraversGothic BT" w:cs="EngraversGothic BT"/>
              </w:rPr>
            </w:pPr>
            <w:r>
              <w:rPr/>
              <w:t>Drafting Comments for ABB Purchase Agreement</w:t>
            </w:r>
          </w:p>
        </w:tc>
      </w:tr>
    </w:tbl>
    <w:p>
      <w:pPr>
        <w:pStyle w:val="spacer"/>
        <w:rPr/>
      </w:pPr>
      <w:r>
        <w:rPr/>
      </w:r>
    </w:p>
    <w:p>
      <w:pPr>
        <w:pStyle w:val="BodyTextFirstIndent"/>
        <w:rPr/>
      </w:pPr>
      <w:bookmarkStart w:id="0" w:name="StartHere"/>
      <w:bookmarkStart w:id="1" w:name="SUBJECT"/>
      <w:bookmarkEnd w:id="0"/>
      <w:bookmarkEnd w:id="1"/>
      <w:r>
        <w:rPr/>
        <w:t>The following is a list of the drafting comments to the ABB Agreement, referenced by section:</w:t>
      </w:r>
    </w:p>
    <w:p>
      <w:pPr>
        <w:pStyle w:val="BodyTextFirstIndent"/>
        <w:ind w:hanging="0" w:end="0"/>
        <w:rPr/>
      </w:pPr>
      <w:r>
        <w:rPr>
          <w:u w:val="single"/>
        </w:rPr>
        <w:t>1.10 Change of Law</w:t>
      </w:r>
      <w:r>
        <w:rPr/>
        <w:t>:  How will any Changes in Law occurring after the Effective Date of the WestdeutscheLB/ABB Agreement, but prior to this Agreement, be handled?</w:t>
      </w:r>
    </w:p>
    <w:p>
      <w:pPr>
        <w:pStyle w:val="BodyTextFirstIndent"/>
        <w:ind w:hanging="0" w:end="0"/>
        <w:rPr/>
      </w:pPr>
      <w:r>
        <w:rPr>
          <w:u w:val="single"/>
        </w:rPr>
        <w:t>3.8(c) Scope of Work to Comply with Applicable Laws</w:t>
      </w:r>
      <w:r>
        <w:rPr/>
        <w:t>:  This section speaks to Change of Law as of the date of signing of the Westdeutsche/ABB Agreement, yet the definition of “Change Order” speaks in terms of the Effective Date which was June 30, 2000.  How should this be resolved?</w:t>
      </w:r>
    </w:p>
    <w:p>
      <w:pPr>
        <w:pStyle w:val="BodyTextFirstIndent"/>
        <w:ind w:hanging="0" w:end="0"/>
        <w:rPr>
          <w:vanish/>
          <w:u w:val="single"/>
        </w:rPr>
      </w:pPr>
      <w:r>
        <w:rPr>
          <w:u w:val="single"/>
        </w:rPr>
        <w:t>3.14.1 Commissioning Spares</w:t>
      </w:r>
      <w:commentRangeStart w:id="0"/>
      <w:r>
        <w:rPr>
          <w:vanish/>
          <w:color w:val="FF0000"/>
          <w:u w:val="single"/>
        </w:rPr>
        <w:t>»</w:t>
      </w:r>
      <w:commentRangeEnd w:id="0"/>
      <w:r>
        <w:commentReference w:id="0"/>
      </w:r>
      <w:r>
        <w:rPr>
          <w:vanish w:val="false"/>
          <w:u w:val="single"/>
        </w:rPr>
      </w:r>
    </w:p>
    <w:p>
      <w:pPr>
        <w:pStyle w:val="BodyTextFirstIndent"/>
        <w:ind w:hanging="0" w:end="0"/>
        <w:rPr/>
      </w:pPr>
      <w:r>
        <w:rPr/>
        <w:t>:  (1)  Exhibit M states that it is Not Used; (2)  How are spare parts to be handled? Are they purchased from Seller or WestLB?</w:t>
      </w:r>
    </w:p>
    <w:p>
      <w:pPr>
        <w:pStyle w:val="BodyTextFirstIndent"/>
        <w:ind w:hanging="0" w:end="0"/>
        <w:rPr/>
      </w:pPr>
      <w:r>
        <w:rPr>
          <w:u w:val="single"/>
        </w:rPr>
        <w:t>3.14.2.1  O&amp;M Spare Parts</w:t>
      </w:r>
      <w:r>
        <w:rPr/>
        <w:t>.: “Notice to Proceed” not defined.</w:t>
      </w:r>
    </w:p>
    <w:p>
      <w:pPr>
        <w:pStyle w:val="BodyTextFirstIndent"/>
        <w:ind w:hanging="0" w:end="0"/>
        <w:rPr/>
      </w:pPr>
      <w:r>
        <w:rPr>
          <w:u w:val="single"/>
        </w:rPr>
        <w:t>3.15 Key Personnel</w:t>
      </w:r>
      <w:r>
        <w:rPr/>
        <w:t>: “TDI” is undefined.</w:t>
      </w:r>
    </w:p>
    <w:p>
      <w:pPr>
        <w:pStyle w:val="BodyTextFirstIndent"/>
        <w:ind w:hanging="0" w:end="0"/>
        <w:rPr/>
      </w:pPr>
      <w:r>
        <w:rPr>
          <w:u w:val="single"/>
        </w:rPr>
        <w:t>5.1.1  Purchase Amount</w:t>
      </w:r>
      <w:r>
        <w:rPr/>
        <w:t>: (1) Exhibit N should be amended on a case-by-case basis depending upon the type of transformer purchased; (2)How do we account for amounts already paid by WestdeutscheLB?  (3)  Exhibit N does not list times or options, just the types of transformers offered and the amounts thereof.</w:t>
      </w:r>
    </w:p>
    <w:p>
      <w:pPr>
        <w:pStyle w:val="BodyTextFirstIndent"/>
        <w:ind w:hanging="0" w:end="0"/>
        <w:rPr/>
      </w:pPr>
      <w:r>
        <w:rPr>
          <w:u w:val="single"/>
        </w:rPr>
        <w:t>5.3(c)  Changes to the Purchase Amount</w:t>
      </w:r>
      <w:r>
        <w:rPr/>
        <w:t>: “Notice to Proceed” not defined.</w:t>
      </w:r>
    </w:p>
    <w:p>
      <w:pPr>
        <w:pStyle w:val="BodyTextFirstIndent"/>
        <w:ind w:hanging="0" w:end="0"/>
        <w:rPr/>
      </w:pPr>
      <w:r>
        <w:rPr>
          <w:u w:val="single"/>
        </w:rPr>
        <w:t>5.4.1(b)(1)  Cancellation by Purchaser</w:t>
      </w:r>
      <w:r>
        <w:rPr/>
        <w:t>: Is it Scope of Work or by Unit?  See Exhibit I.</w:t>
      </w:r>
    </w:p>
    <w:p>
      <w:pPr>
        <w:pStyle w:val="BodyTextFirstIndent"/>
        <w:ind w:hanging="0" w:end="0"/>
        <w:rPr/>
      </w:pPr>
      <w:r>
        <w:rPr>
          <w:u w:val="single"/>
        </w:rPr>
        <w:t>6.1.2 Payment Milestones</w:t>
      </w:r>
      <w:r>
        <w:rPr/>
        <w:t>: Table should be revised on a case-by-case basis. Payments already made by WestdeutscheLB should be marked as “Paid” in the chart.</w:t>
      </w:r>
    </w:p>
    <w:p>
      <w:pPr>
        <w:pStyle w:val="BodyTextFirstIndent"/>
        <w:ind w:hanging="0" w:end="0"/>
        <w:rPr/>
      </w:pPr>
      <w:r>
        <w:rPr>
          <w:u w:val="single"/>
        </w:rPr>
        <w:t>6.1.3  Retention</w:t>
      </w:r>
      <w:r>
        <w:rPr/>
        <w:t>: Upon the expiry of the Primary Warranty Period of each Unit, should the Retention Surety Bond be reduced incrementally by the Retention Amount attributable for that Unit?</w:t>
      </w:r>
    </w:p>
    <w:p>
      <w:pPr>
        <w:pStyle w:val="BodyTextFirstIndent"/>
        <w:ind w:hanging="0" w:end="0"/>
        <w:rPr/>
      </w:pPr>
      <w:r>
        <w:rPr>
          <w:u w:val="single"/>
        </w:rPr>
        <w:t>6.1.4(b)  Not Used</w:t>
      </w:r>
      <w:r>
        <w:rPr/>
        <w:t>: This language will depend upon how spare parts are handled - i.e., are they purchased from WestdeutscheLB or ABB?</w:t>
      </w:r>
    </w:p>
    <w:p>
      <w:pPr>
        <w:pStyle w:val="BodyTextFirstIndent"/>
        <w:ind w:hanging="0" w:end="0"/>
        <w:rPr/>
      </w:pPr>
      <w:r>
        <w:rPr>
          <w:u w:val="single"/>
        </w:rPr>
        <w:t>7.2 Commencement of Work</w:t>
      </w:r>
      <w:r>
        <w:rPr/>
        <w:t>:  How do we account for the fact that Seller already received the notice to proceed under the Westdeutsche/ABB Agreement?</w:t>
      </w:r>
    </w:p>
    <w:p>
      <w:pPr>
        <w:pStyle w:val="BodyTextFirstIndent"/>
        <w:ind w:hanging="0" w:end="0"/>
        <w:rPr/>
      </w:pPr>
      <w:r>
        <w:rPr>
          <w:u w:val="single"/>
        </w:rPr>
        <w:t>9.7  Release for Delivery</w:t>
      </w:r>
      <w:r>
        <w:rPr/>
        <w:t>: “Quality Assurance Manager” is not defined.</w:t>
      </w:r>
    </w:p>
    <w:p>
      <w:pPr>
        <w:pStyle w:val="BodyTextFirstIndent"/>
        <w:ind w:hanging="0" w:end="0"/>
        <w:rPr/>
      </w:pPr>
      <w:r>
        <w:rPr>
          <w:u w:val="single"/>
        </w:rPr>
        <w:t>10.1  Delivery of Documentation</w:t>
      </w:r>
      <w:r>
        <w:rPr/>
        <w:t>: Exhibit B-2 should be amended on a case-by-case basis to delete reference to those documents already delivered.</w:t>
      </w:r>
    </w:p>
    <w:p>
      <w:pPr>
        <w:pStyle w:val="BodyTextFirstIndent"/>
        <w:ind w:hanging="0" w:end="0"/>
        <w:rPr/>
      </w:pPr>
      <w:r>
        <w:rPr>
          <w:u w:val="single"/>
        </w:rPr>
        <w:t>10.2.1  Guaranteed Installation Date</w:t>
      </w:r>
      <w:r>
        <w:rPr/>
        <w:t>: (1) Exhibit C should be revised on a case-by-case basis depending on the particular Units sold under each Facility Agreement; (2)When will the Guaranteed Installation Dates be known?</w:t>
      </w:r>
    </w:p>
    <w:p>
      <w:pPr>
        <w:pStyle w:val="BodyTextFirstIndent"/>
        <w:ind w:hanging="0" w:end="0"/>
        <w:rPr/>
      </w:pPr>
      <w:r>
        <w:rPr>
          <w:u w:val="single"/>
        </w:rPr>
        <w:t>10.3.1  Installation Liquidated Damages</w:t>
      </w:r>
      <w:r>
        <w:rPr/>
        <w:t>: When are the parties to agree upon the rate?</w:t>
      </w:r>
    </w:p>
    <w:p>
      <w:pPr>
        <w:pStyle w:val="BodyTextFirstIndent"/>
        <w:ind w:hanging="0" w:end="0"/>
        <w:rPr/>
      </w:pPr>
      <w:r>
        <w:rPr>
          <w:u w:val="single"/>
        </w:rPr>
        <w:t>10.3.2  Delivery Liquidated Damages</w:t>
      </w:r>
      <w:r>
        <w:rPr/>
        <w:t>: When are the parties to agree upon the rate for damages?</w:t>
      </w:r>
    </w:p>
    <w:p>
      <w:pPr>
        <w:pStyle w:val="BodyTextFirstIndent"/>
        <w:ind w:hanging="0" w:end="0"/>
        <w:rPr/>
      </w:pPr>
      <w:r>
        <w:rPr>
          <w:u w:val="single"/>
        </w:rPr>
        <w:t>10.4.1  Electrical Losses Guarantee</w:t>
      </w:r>
      <w:r>
        <w:rPr/>
        <w:t>: Exhibit A should be amended on a case-by-case basis to show the guarantee for each Unit acquired hereunder.</w:t>
      </w:r>
    </w:p>
    <w:p>
      <w:pPr>
        <w:pStyle w:val="BodyTextFirstIndent"/>
        <w:ind w:hanging="0" w:end="0"/>
        <w:rPr/>
      </w:pPr>
      <w:r>
        <w:rPr>
          <w:u w:val="single"/>
        </w:rPr>
        <w:t>10.4.3 Electrical Losses Liquidated Damages</w:t>
      </w:r>
      <w:r>
        <w:rPr/>
        <w:t>: Exhibit A should be amended on a case-by-case basis to show the base rated load for each Unit acquired hereunder.</w:t>
      </w:r>
    </w:p>
    <w:p>
      <w:pPr>
        <w:pStyle w:val="BodyTextFirstIndent"/>
        <w:ind w:hanging="0" w:end="0"/>
        <w:rPr/>
      </w:pPr>
      <w:r>
        <w:rPr>
          <w:u w:val="single"/>
        </w:rPr>
        <w:t>15.2.1  Passage of Title</w:t>
      </w:r>
      <w:r>
        <w:rPr/>
        <w:t>: “O &amp; M Manual” is not defined.</w:t>
      </w:r>
    </w:p>
    <w:p>
      <w:pPr>
        <w:pStyle w:val="BodyTextFirstIndent"/>
        <w:ind w:hanging="0" w:end="0"/>
        <w:rPr/>
      </w:pPr>
      <w:r>
        <w:rPr>
          <w:u w:val="single"/>
        </w:rPr>
        <w:t xml:space="preserve">18.3  Notice of Force Majeure </w:t>
      </w:r>
      <w:r>
        <w:rPr/>
        <w:t xml:space="preserve">: Should the proof of the nature of the delay be submitted “within a reasonable time” or “as soon as practicable?”  </w:t>
      </w:r>
    </w:p>
    <w:p>
      <w:pPr>
        <w:pStyle w:val="BodyTextFirstIndent"/>
        <w:ind w:hanging="0" w:end="0"/>
        <w:rPr/>
      </w:pPr>
      <w:r>
        <w:rPr>
          <w:u w:val="single"/>
        </w:rPr>
        <w:t>Article XXII Assignment</w:t>
      </w:r>
      <w:r>
        <w:rPr/>
        <w:t>:  Are all of the WestLB/ABB Agreement assignment restrictions on Purchaser carried over to the Facility Agreement?</w:t>
      </w:r>
    </w:p>
    <w:p>
      <w:pPr>
        <w:pStyle w:val="BodyTextFirstIndent"/>
        <w:ind w:hanging="0" w:end="0"/>
        <w:rPr/>
      </w:pPr>
      <w:r>
        <w:rPr>
          <w:u w:val="single"/>
        </w:rPr>
        <w:t>29.10  Cooperation on Site</w:t>
      </w:r>
      <w:r>
        <w:rPr/>
        <w:t>:  Do we need a separate letter agreement to release WestdeutscheLB and ENA from their obligations under The WestdeutscheLB/ABB Agreement?</w:t>
      </w:r>
    </w:p>
    <w:p>
      <w:pPr>
        <w:pStyle w:val="BodyTextFirstIndent"/>
        <w:ind w:hanging="0" w:end="0"/>
        <w:rPr/>
      </w:pPr>
      <w:r>
        <w:rPr>
          <w:u w:val="single"/>
        </w:rPr>
        <w:t>Exhibit A:</w:t>
      </w:r>
      <w:r>
        <w:rPr/>
        <w:t xml:space="preserve">  “MVA (base)” is not defined.</w:t>
      </w:r>
    </w:p>
    <w:p>
      <w:pPr>
        <w:pStyle w:val="BodyTextFirstIndent"/>
        <w:ind w:hanging="0" w:end="0"/>
        <w:rPr/>
      </w:pPr>
      <w:r>
        <w:rPr>
          <w:u w:val="single"/>
        </w:rPr>
        <w:t>Exhibit B-1  6.2  Spare Parts List</w:t>
      </w:r>
      <w:r>
        <w:rPr/>
        <w:t>:  Is Exhibit M-1 the complete Spare Parts List?</w:t>
      </w:r>
    </w:p>
    <w:p>
      <w:pPr>
        <w:pStyle w:val="BodyTextFirstIndent"/>
        <w:ind w:hanging="0" w:end="0"/>
        <w:rPr/>
      </w:pPr>
      <w:r>
        <w:rPr>
          <w:u w:val="single"/>
        </w:rPr>
        <w:t>Exhibit C Guaranteed Unit Delivery Date</w:t>
      </w:r>
      <w:r>
        <w:rPr/>
        <w:t>:  This Exhibit should be amended on a case-by-case basis depending on the type of transformer being acquired.</w:t>
      </w:r>
    </w:p>
    <w:p>
      <w:pPr>
        <w:pStyle w:val="BodyTextFirstIndent"/>
        <w:ind w:hanging="0" w:end="0"/>
        <w:rPr/>
      </w:pPr>
      <w:r>
        <w:rPr>
          <w:u w:val="single"/>
        </w:rPr>
        <w:t>Exhibit J-3  2.1  Quality Surveillance Requirements</w:t>
      </w:r>
      <w:r>
        <w:rPr/>
        <w:t>:  (1) “Quality Assurance Manager” is not defined; (2) “NDT” is not defined.</w:t>
      </w:r>
    </w:p>
    <w:p>
      <w:pPr>
        <w:pStyle w:val="BodyTextFirstIndent"/>
        <w:ind w:hanging="0" w:end="0"/>
        <w:rPr/>
      </w:pPr>
      <w:r>
        <w:rPr>
          <w:u w:val="single"/>
        </w:rPr>
        <w:t>Exhibit M-1  Spare Parts</w:t>
      </w:r>
      <w:r>
        <w:rPr/>
        <w:t>: Is Purchaser acquiring spare parts from ABB on Westdeutsche LB?</w:t>
      </w:r>
    </w:p>
    <w:p>
      <w:pPr>
        <w:pStyle w:val="BodyTextFirstIndent"/>
        <w:spacing w:before="0" w:after="240"/>
        <w:ind w:hanging="0" w:end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iC" w:date="0-00-00T00:00:00Z" w:initials="iC">
    <w:p>
      <w:pPr>
        <w:overflowPunct w:val="false"/>
        <w:bidi w:val="0"/>
        <w:spacing w:before="0" w:after="240"/>
        <w:rPr/>
      </w:pPr>
      <w:r>
        <w:annotationRef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en-US" w:val="en-US" w:bidi="ar-SA"/>
        </w:rPr>
        <w:t>Please do not type any text in this area.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ngraversGothic B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oudyTrajanBold">
    <w:charset w:val="00" w:characterSet="windows-1252"/>
    <w:family w:val="auto"/>
    <w:pitch w:val="variable"/>
  </w:font>
  <w:font w:name="GoudyTrajanRegular">
    <w:charset w:val="00" w:characterSet="windows-1252"/>
    <w:family w:val="auto"/>
    <w:pitch w:val="variable"/>
  </w:font>
  <w:font w:name="CG Times (WN)">
    <w:charset w:val="00" w:characterSet="windows-1252"/>
    <w:family w:val="roman"/>
    <w:pitch w:val="default"/>
  </w:font>
  <w:font w:name="GoudyOlSt B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915035</wp:posOffset>
              </wp:positionH>
              <wp:positionV relativeFrom="page">
                <wp:posOffset>9693275</wp:posOffset>
              </wp:positionV>
              <wp:extent cx="616585" cy="293370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293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2" w:name="bkEndId"/>
                          <w:bookmarkEnd w:id="2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WAS:82898.1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55pt;height:23.1pt;mso-wrap-distance-left:0pt;mso-wrap-distance-right:0pt;mso-wrap-distance-top:0pt;mso-wrap-distance-bottom:0pt;margin-top:763.25pt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3" w:name="bkEndId"/>
                    <w:bookmarkEnd w:id="3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WAS:82898.1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posOffset>9693275</wp:posOffset>
              </wp:positionV>
              <wp:extent cx="616585" cy="29337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293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4" w:name="bkFooterDocID"/>
                          <w:bookmarkEnd w:id="4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WAS:82898.1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55pt;height:23.1pt;mso-wrap-distance-left:0pt;mso-wrap-distance-right:0pt;mso-wrap-distance-top:0pt;mso-wrap-distance-bottom:0pt;margin-top:763.25pt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5" w:name="bkFooterDocID"/>
                    <w:bookmarkEnd w:id="5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WAS:82898.1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MemoSecondPage"/>
      <w:rPr/>
    </w:pPr>
    <w:r>
      <w:rPr/>
      <w:t xml:space="preserve">Andrews </w:t>
    </w:r>
    <w:r>
      <w:rPr>
        <w:rFonts w:cs="GoudyOlSt BT" w:ascii="GoudyOlSt BT" w:hAnsi="GoudyOlSt BT"/>
      </w:rPr>
      <w:t>&amp;</w:t>
    </w:r>
    <w:r>
      <w:rPr/>
      <w:t xml:space="preserve"> Kurth</w:t>
    </w:r>
  </w:p>
  <w:p>
    <w:pPr>
      <w:pStyle w:val="MemoSecondPage"/>
      <w:rPr/>
    </w:pPr>
    <w:r>
      <w:rPr/>
      <w:t>l.l.p.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ARTICLE %1."/>
      <w:lvlJc w:val="center"/>
      <w:pPr>
        <w:tabs>
          <w:tab w:val="num" w:pos="1368"/>
        </w:tabs>
        <w:ind w:start="0" w:firstLine="288"/>
      </w:pPr>
      <w:rPr>
        <w:i w:val="false"/>
        <w:u w:val="none"/>
        <w:b/>
        <w:rFonts w:ascii="Times New Roman" w:hAnsi="Times New Roman" w:cs="Times New Roman"/>
      </w:rPr>
    </w:lvl>
    <w:lvl w:ilvl="1">
      <w:start w:val="1"/>
      <w:pStyle w:val="Heading2"/>
      <w:isLgl/>
      <w:numFmt w:val="decimal"/>
      <w:lvlText w:val="%1.%2"/>
      <w:lvlJc w:val="start"/>
      <w:pPr>
        <w:tabs>
          <w:tab w:val="num" w:pos="360"/>
        </w:tabs>
        <w:ind w:start="0" w:hanging="0"/>
      </w:pPr>
      <w:rPr>
        <w:i w:val="false"/>
        <w:u w:val="none"/>
        <w:b w:val="false"/>
        <w:rFonts w:ascii="Times New Roman" w:hAnsi="Times New Roman" w:cs="Times New Roman"/>
      </w:rPr>
    </w:lvl>
    <w:lvl w:ilvl="2">
      <w:start w:val="1"/>
      <w:pStyle w:val="Heading3"/>
      <w:isLgl/>
      <w:numFmt w:val="decimal"/>
      <w:lvlText w:val="%1.%2.%3"/>
      <w:lvlJc w:val="start"/>
      <w:pPr>
        <w:tabs>
          <w:tab w:val="num" w:pos="720"/>
        </w:tabs>
        <w:ind w:start="0" w:hanging="0"/>
      </w:pPr>
      <w:rPr>
        <w:i w:val="false"/>
        <w:u w:val="none"/>
        <w:b w:val="false"/>
      </w:rPr>
    </w:lvl>
    <w:lvl w:ilvl="3">
      <w:start w:val="1"/>
      <w:pStyle w:val="Heading4"/>
      <w:numFmt w:val="lowerLetter"/>
      <w:lvlText w:val="(%4)"/>
      <w:lvlJc w:val="start"/>
      <w:pPr>
        <w:tabs>
          <w:tab w:val="num" w:pos="1440"/>
        </w:tabs>
        <w:ind w:start="1440" w:hanging="720"/>
      </w:pPr>
      <w:rPr/>
    </w:lvl>
    <w:lvl w:ilvl="4">
      <w:start w:val="1"/>
      <w:pStyle w:val="Heading5"/>
      <w:numFmt w:val="lowerRoman"/>
      <w:lvlText w:val="(%5)"/>
      <w:lvlJc w:val="start"/>
      <w:pPr>
        <w:tabs>
          <w:tab w:val="num" w:pos="2160"/>
        </w:tabs>
        <w:ind w:start="2160" w:hanging="720"/>
      </w:pPr>
      <w:rPr>
        <w:i w:val="false"/>
        <w:b w:val="false"/>
      </w:rPr>
    </w:lvl>
    <w:lvl w:ilvl="5">
      <w:start w:val="1"/>
      <w:pStyle w:val="Heading6"/>
      <w:numFmt w:val="decimal"/>
      <w:lvlText w:val="(%6)"/>
      <w:lvlJc w:val="start"/>
      <w:pPr>
        <w:tabs>
          <w:tab w:val="num" w:pos="2880"/>
        </w:tabs>
        <w:ind w:start="2880" w:hanging="720"/>
      </w:pPr>
      <w:rPr/>
    </w:lvl>
    <w:lvl w:ilvl="6">
      <w:start w:val="1"/>
      <w:pStyle w:val="Heading7"/>
      <w:isLgl/>
      <w:numFmt w:val="decimal"/>
      <w:lvlText w:val="%1.%2.%3.%7"/>
      <w:lvlJc w:val="start"/>
      <w:pPr>
        <w:tabs>
          <w:tab w:val="num" w:pos="2160"/>
        </w:tabs>
        <w:ind w:start="2160" w:hanging="1440"/>
      </w:pPr>
      <w:rPr>
        <w:u w:val="none"/>
      </w:rPr>
    </w:lvl>
    <w:lvl w:ilvl="7">
      <w:start w:val="1"/>
      <w:pStyle w:val="Heading8"/>
      <w:numFmt w:val="lowerRoman"/>
      <w:lvlText w:val="%8."/>
      <w:lvlJc w:val="start"/>
      <w:pPr>
        <w:tabs>
          <w:tab w:val="num" w:pos="5040"/>
        </w:tabs>
        <w:ind w:start="3600" w:firstLine="720"/>
      </w:pPr>
      <w:rPr/>
    </w:lvl>
    <w:lvl w:ilvl="8">
      <w:start w:val="1"/>
      <w:pStyle w:val="Heading9"/>
      <w:numFmt w:val="bullet"/>
      <w:lvlText w:val=""/>
      <w:lvlJc w:val="start"/>
      <w:pPr>
        <w:tabs>
          <w:tab w:val="num" w:pos="1440"/>
        </w:tabs>
        <w:ind w:start="1440" w:hanging="720"/>
      </w:pPr>
      <w:rPr>
        <w:rFonts w:ascii="Symbol" w:hAnsi="Symbol" w:cs="Symbol" w:hint="default"/>
        <w:sz w:val="28"/>
        <w:color w:val="auto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BodyTextFirstIndent"/>
    <w:qFormat/>
    <w:pPr>
      <w:numPr>
        <w:ilvl w:val="0"/>
        <w:numId w:val="1"/>
      </w:numPr>
      <w:tabs>
        <w:tab w:val="clear" w:pos="720"/>
        <w:tab w:val="left" w:pos="1080" w:leader="none"/>
      </w:tabs>
      <w:spacing w:before="0" w:after="24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  <w:tab w:val="left" w:pos="1080" w:leader="none"/>
      </w:tabs>
      <w:spacing w:before="0" w:after="240"/>
      <w:jc w:val="both"/>
      <w:outlineLvl w:val="1"/>
    </w:pPr>
    <w:rPr>
      <w:sz w:val="24"/>
      <w:u w:val="single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</w:tabs>
      <w:spacing w:before="0" w:after="24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clear" w:pos="720"/>
        <w:tab w:val="left" w:pos="2160" w:leader="none"/>
      </w:tabs>
      <w:spacing w:before="0"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</w:tabs>
      <w:spacing w:before="0" w:after="240"/>
      <w:jc w:val="both"/>
      <w:outlineLvl w:val="4"/>
    </w:pPr>
    <w:rPr>
      <w:sz w:val="24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tabs>
        <w:tab w:val="clear" w:pos="720"/>
      </w:tabs>
      <w:spacing w:before="0" w:after="240"/>
      <w:jc w:val="both"/>
      <w:outlineLvl w:val="5"/>
    </w:pPr>
    <w:rPr>
      <w:sz w:val="24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tabs>
        <w:tab w:val="clear" w:pos="720"/>
      </w:tabs>
      <w:spacing w:before="0" w:after="240"/>
      <w:jc w:val="both"/>
      <w:outlineLvl w:val="6"/>
    </w:pPr>
    <w:rPr>
      <w:sz w:val="24"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jc w:val="both"/>
      <w:outlineLvl w:val="7"/>
    </w:pPr>
    <w:rPr>
      <w:sz w:val="24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jc w:val="both"/>
      <w:outlineLvl w:val="8"/>
    </w:pPr>
    <w:rPr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cs="Times New Roman"/>
      <w:b/>
      <w:i w:val="false"/>
      <w:u w:val="none"/>
    </w:rPr>
  </w:style>
  <w:style w:type="character" w:styleId="WW8Num11z1">
    <w:name w:val="WW8Num11z1"/>
    <w:qFormat/>
    <w:rPr>
      <w:rFonts w:ascii="Times New Roman" w:hAnsi="Times New Roman" w:cs="Times New Roman"/>
      <w:b w:val="false"/>
      <w:i w:val="false"/>
      <w:u w:val="none"/>
    </w:rPr>
  </w:style>
  <w:style w:type="character" w:styleId="WW8Num11z2">
    <w:name w:val="WW8Num11z2"/>
    <w:qFormat/>
    <w:rPr>
      <w:b w:val="false"/>
      <w:i w:val="false"/>
      <w:u w:val="none"/>
    </w:rPr>
  </w:style>
  <w:style w:type="character" w:styleId="WW8Num11z3">
    <w:name w:val="WW8Num11z3"/>
    <w:qFormat/>
    <w:rPr/>
  </w:style>
  <w:style w:type="character" w:styleId="WW8Num11z4">
    <w:name w:val="WW8Num11z4"/>
    <w:qFormat/>
    <w:rPr>
      <w:b w:val="false"/>
      <w:i w:val="false"/>
    </w:rPr>
  </w:style>
  <w:style w:type="character" w:styleId="WW8Num11z6">
    <w:name w:val="WW8Num11z6"/>
    <w:qFormat/>
    <w:rPr>
      <w:u w:val="none"/>
    </w:rPr>
  </w:style>
  <w:style w:type="character" w:styleId="WW8Num11z8">
    <w:name w:val="WW8Num11z8"/>
    <w:qFormat/>
    <w:rPr>
      <w:rFonts w:ascii="Symbol" w:hAnsi="Symbol" w:cs="Symbol"/>
      <w:color w:val="auto"/>
      <w:sz w:val="28"/>
    </w:rPr>
  </w:style>
  <w:style w:type="character" w:styleId="DefaultParagraphFont">
    <w:name w:val="Default Paragraph Font"/>
    <w:qFormat/>
    <w:rPr/>
  </w:style>
  <w:style w:type="character" w:styleId="ToFont">
    <w:name w:val="ToFont"/>
    <w:basedOn w:val="DefaultParagraphFont"/>
    <w:qFormat/>
    <w:rPr>
      <w:rFonts w:ascii="EngraversGothic BT" w:hAnsi="EngraversGothic BT" w:cs="EngraversGothic BT"/>
      <w:sz w:val="24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DocID">
    <w:name w:val="DocID"/>
    <w:basedOn w:val="DefaultParagraphFont"/>
    <w:qFormat/>
    <w:rPr>
      <w:sz w:val="1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tterhead">
    <w:name w:val="Letterhead"/>
    <w:basedOn w:val="Normal"/>
    <w:qFormat/>
    <w:pPr>
      <w:jc w:val="center"/>
    </w:pPr>
    <w:rPr>
      <w:rFonts w:ascii="GoudyTrajanBold" w:hAnsi="GoudyTrajanBold" w:cs="GoudyTrajanBold"/>
      <w:sz w:val="30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MemoAddress">
    <w:name w:val="MemoAddress"/>
    <w:basedOn w:val="Normal"/>
    <w:qFormat/>
    <w:pPr>
      <w:jc w:val="center"/>
    </w:pPr>
    <w:rPr>
      <w:rFonts w:ascii="GoudyTrajanBold" w:hAnsi="GoudyTrajanBold" w:cs="GoudyTrajanBold"/>
      <w:sz w:val="14"/>
    </w:rPr>
  </w:style>
  <w:style w:type="paragraph" w:styleId="MemoTitle">
    <w:name w:val="MemoTitle"/>
    <w:basedOn w:val="Normal"/>
    <w:qFormat/>
    <w:pPr>
      <w:spacing w:before="0" w:after="240"/>
      <w:jc w:val="center"/>
    </w:pPr>
    <w:rPr>
      <w:rFonts w:ascii="EngraversGothic BT" w:hAnsi="EngraversGothic BT" w:cs="EngraversGothic BT"/>
      <w:sz w:val="30"/>
    </w:rPr>
  </w:style>
  <w:style w:type="paragraph" w:styleId="BodyTextFirstIndent">
    <w:name w:val="Body Text First Indent"/>
    <w:basedOn w:val="BodyText"/>
    <w:qFormat/>
    <w:pPr>
      <w:spacing w:before="0" w:after="240"/>
      <w:ind w:firstLine="720" w:start="0" w:end="0"/>
    </w:pPr>
    <w:rPr/>
  </w:style>
  <w:style w:type="paragraph" w:styleId="spacer">
    <w:name w:val="spacer"/>
    <w:basedOn w:val="BodyTextFirstIndent"/>
    <w:qFormat/>
    <w:pPr>
      <w:spacing w:before="0" w:after="0"/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emoSecondPage">
    <w:name w:val="MemoSecondPage"/>
    <w:basedOn w:val="Header"/>
    <w:qFormat/>
    <w:pPr>
      <w:jc w:val="center"/>
    </w:pPr>
    <w:rPr>
      <w:rFonts w:ascii="GoudyTrajanRegular" w:hAnsi="GoudyTrajanRegular" w:cs="GoudyTrajanRegular"/>
      <w:sz w:val="18"/>
    </w:rPr>
  </w:style>
  <w:style w:type="paragraph" w:styleId="MemoTo">
    <w:name w:val="MemoTo"/>
    <w:basedOn w:val="Normal"/>
    <w:qFormat/>
    <w:pPr>
      <w:spacing w:before="0" w:after="240"/>
    </w:pPr>
    <w:rPr>
      <w:sz w:val="24"/>
    </w:rPr>
  </w:style>
  <w:style w:type="paragraph" w:styleId="memoheads">
    <w:name w:val="memoheads"/>
    <w:basedOn w:val="Normal"/>
    <w:qFormat/>
    <w:pPr/>
    <w:rPr>
      <w:rFonts w:ascii="EngraversGothic BT" w:hAnsi="EngraversGothic BT" w:cs="EngraversGothic BT"/>
      <w:sz w:val="24"/>
    </w:rPr>
  </w:style>
  <w:style w:type="paragraph" w:styleId="tabletext">
    <w:name w:val="tabletext"/>
    <w:basedOn w:val="BodyText"/>
    <w:qFormat/>
    <w:pPr>
      <w:spacing w:before="0" w:after="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60" w:leader="none"/>
        <w:tab w:val="right" w:pos="10070" w:leader="dot"/>
      </w:tabs>
      <w:ind w:hanging="0" w:start="245" w:end="0"/>
    </w:pPr>
    <w:rPr>
      <w:lang w:val="en-CA" w:eastAsia="en-CA"/>
    </w:rPr>
  </w:style>
  <w:style w:type="paragraph" w:styleId="CommentText">
    <w:name w:val="Comment Text"/>
    <w:basedOn w:val="Normal"/>
    <w:qFormat/>
    <w:pPr>
      <w:spacing w:before="0" w:after="240"/>
    </w:pPr>
    <w:rPr/>
  </w:style>
  <w:style w:type="paragraph" w:styleId="Level2text">
    <w:name w:val="Level 2 text"/>
    <w:basedOn w:val="Normal"/>
    <w:qFormat/>
    <w:pPr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suppressAutoHyphens w:val="true"/>
      <w:spacing w:before="0" w:after="240"/>
      <w:ind w:hanging="0" w:start="1440" w:end="0"/>
    </w:pPr>
    <w:rPr>
      <w:rFonts w:ascii="CG Times (WN)" w:hAnsi="CG Times (WN)" w:cs="CG Times (WN)"/>
      <w:spacing w:val="-3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Andrews &amp; Kurth Memo.dot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2000-11-14T23:31:00Z</dcterms:created>
  <dc:creator>A&amp;K</dc:creator>
  <dc:description/>
  <dc:language>en-CA</dc:language>
  <cp:lastModifiedBy>A&amp;K</cp:lastModifiedBy>
  <cp:lastPrinted>2000-11-14T20:55:00Z</cp:lastPrinted>
  <dcterms:modified xsi:type="dcterms:W3CDTF">2000-11-14T23:31:00Z</dcterms:modified>
  <cp:revision>2</cp:revision>
  <dc:subject/>
  <dc:title>A&amp;K Memo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WAS:82898.1 </vt:lpwstr>
  </property>
</Properties>
</file>