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jc w:val="end"/>
        <w:rPr/>
      </w:pPr>
      <w:r>
        <w:rPr/>
      </w:r>
    </w:p>
    <w:tbl>
      <w:tblPr>
        <w:tblW w:w="10708" w:type="dxa"/>
        <w:jc w:val="start"/>
        <w:tblInd w:w="202" w:type="dxa"/>
        <w:tblLayout w:type="fixed"/>
        <w:tblCellMar>
          <w:top w:w="0" w:type="dxa"/>
          <w:start w:w="108" w:type="dxa"/>
          <w:bottom w:w="0" w:type="dxa"/>
          <w:end w:w="108" w:type="dxa"/>
        </w:tblCellMar>
      </w:tblPr>
      <w:tblGrid>
        <w:gridCol w:w="708"/>
        <w:gridCol w:w="6045"/>
        <w:gridCol w:w="990"/>
        <w:gridCol w:w="2965"/>
      </w:tblGrid>
      <w:tr>
        <w:trPr/>
        <w:tc>
          <w:tcPr>
            <w:tcW w:w="708" w:type="dxa"/>
            <w:tcBorders/>
          </w:tcPr>
          <w:p>
            <w:pPr>
              <w:pStyle w:val="Normal"/>
              <w:ind w:start="-180" w:end="0"/>
              <w:jc w:val="end"/>
              <w:rPr>
                <w:sz w:val="16"/>
              </w:rPr>
            </w:pPr>
            <w:r>
              <w:rPr>
                <w:sz w:val="16"/>
              </w:rPr>
              <w:t>To:</w:t>
            </w:r>
          </w:p>
        </w:tc>
        <w:tc>
          <w:tcPr>
            <w:tcW w:w="6045" w:type="dxa"/>
            <w:tcBorders/>
          </w:tcPr>
          <w:p>
            <w:pPr>
              <w:pStyle w:val="To"/>
              <w:rPr/>
            </w:pPr>
            <w:r>
              <w:rPr/>
              <w:t>Jeff Hodge, Greg Johnston, Mark Powell, Chris Gaffney, Bill Bradford, John Suttle, Russell Diamond, Mark Haedicke, Rob Milnthorp, Derek Davies, Barry Tycholiz, Doug Patterson, Cyntia Pastega, Grant Oh and Jon McKay</w:t>
            </w:r>
          </w:p>
        </w:tc>
        <w:tc>
          <w:tcPr>
            <w:tcW w:w="990" w:type="dxa"/>
            <w:tcBorders/>
          </w:tcPr>
          <w:p>
            <w:pPr>
              <w:pStyle w:val="Normal"/>
              <w:snapToGrid w:val="false"/>
              <w:ind w:start="-180" w:end="0"/>
              <w:rPr/>
            </w:pPr>
            <w:r>
              <w:rPr/>
            </w:r>
          </w:p>
        </w:tc>
        <w:tc>
          <w:tcPr>
            <w:tcW w:w="2965" w:type="dxa"/>
            <w:tcBorders/>
          </w:tcPr>
          <w:p>
            <w:pPr>
              <w:pStyle w:val="Normal"/>
              <w:snapToGrid w:val="false"/>
              <w:rPr/>
            </w:pPr>
            <w:r>
              <w:rPr/>
            </w:r>
          </w:p>
        </w:tc>
      </w:tr>
      <w:tr>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c>
          <w:tcPr>
            <w:tcW w:w="708" w:type="dxa"/>
            <w:tcBorders/>
          </w:tcPr>
          <w:p>
            <w:pPr>
              <w:pStyle w:val="Normal"/>
              <w:ind w:start="-180" w:end="0"/>
              <w:jc w:val="end"/>
              <w:rPr>
                <w:sz w:val="18"/>
              </w:rPr>
            </w:pPr>
            <w:r>
              <w:rPr>
                <w:sz w:val="18"/>
              </w:rPr>
              <w:t>c:</w:t>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c>
          <w:tcPr>
            <w:tcW w:w="708" w:type="dxa"/>
            <w:tcBorders/>
          </w:tcPr>
          <w:p>
            <w:pPr>
              <w:pStyle w:val="Normal"/>
              <w:ind w:start="-180" w:end="0"/>
              <w:jc w:val="end"/>
              <w:rPr>
                <w:sz w:val="16"/>
              </w:rPr>
            </w:pPr>
            <w:r>
              <w:rPr>
                <w:sz w:val="16"/>
              </w:rPr>
              <w:t>From:</w:t>
            </w:r>
          </w:p>
        </w:tc>
        <w:tc>
          <w:tcPr>
            <w:tcW w:w="6045" w:type="dxa"/>
            <w:tcBorders/>
          </w:tcPr>
          <w:p>
            <w:pPr>
              <w:pStyle w:val="From"/>
              <w:rPr/>
            </w:pPr>
            <w:r>
              <w:rPr/>
              <w:t>Peter Keohane</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Law</w:t>
            </w:r>
          </w:p>
        </w:tc>
      </w:tr>
      <w:tr>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tabs>
                <w:tab w:val="left" w:pos="540" w:leader="none"/>
              </w:tabs>
              <w:rPr/>
            </w:pPr>
            <w:r>
              <w:rPr/>
              <w:t>Set-off - Alberta Court of Appeal Decision in Blue Range Resource Corporation Insolvency</w:t>
            </w:r>
          </w:p>
          <w:p>
            <w:pPr>
              <w:pStyle w:val="Subject"/>
              <w:rPr/>
            </w:pPr>
            <w:r>
              <w:rPr/>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fldChar w:fldCharType="begin"/>
            </w:r>
            <w:r>
              <w:rPr/>
              <w:instrText xml:space="preserve"> DATE \@"MMMM\ d', 'yyyy" </w:instrText>
            </w:r>
            <w:r>
              <w:rPr/>
              <w:fldChar w:fldCharType="separate"/>
            </w:r>
            <w:r>
              <w:rPr/>
              <w:t>September 28, 2025</w:t>
            </w:r>
            <w:r>
              <w:rPr/>
              <w:fldChar w:fldCharType="end"/>
            </w:r>
          </w:p>
        </w:tc>
      </w:tr>
    </w:tbl>
    <w:p>
      <w:pPr>
        <w:pStyle w:val="Body"/>
        <w:spacing w:before="120" w:after="120"/>
        <w:ind w:start="90" w:end="0"/>
        <w:jc w:val="both"/>
        <w:rPr>
          <w:sz w:val="22"/>
        </w:rPr>
      </w:pPr>
      <w:bookmarkStart w:id="1" w:name="StartOfMemo"/>
      <w:bookmarkEnd w:id="1"/>
      <w:r>
        <w:rPr>
          <w:sz w:val="22"/>
        </w:rPr>
        <w:t>The Court of Appeal has issued its set-off decision, reversing the decision of the Court of Queens’ Bench.</w:t>
      </w:r>
    </w:p>
    <w:p>
      <w:pPr>
        <w:pStyle w:val="Body"/>
        <w:spacing w:before="120" w:after="120"/>
        <w:ind w:start="90" w:end="0"/>
        <w:jc w:val="both"/>
        <w:rPr>
          <w:sz w:val="22"/>
        </w:rPr>
      </w:pPr>
      <w:r>
        <w:rPr>
          <w:sz w:val="22"/>
        </w:rPr>
        <w:t>By way of background, Enron was not indirectly involved in the set-off application.  Enron’s approach was to claim that the trading contracts were “eligible financial contracts” and therefore could be terminated and netted, notwithstanding the stay of enforcement proceedings, without Court approval, but, as a backstop, we would rely on set-off with the Court’s approval.  At trial, Justice LoVecchio not only disallowed our Master Physical Agreements as eligible financial contracts, he also disallowed Duke’s and Engage’s applications for Court approval to set-off payables incurred both before and after the insolvency.</w:t>
      </w:r>
    </w:p>
    <w:p>
      <w:pPr>
        <w:pStyle w:val="Body"/>
        <w:spacing w:before="120" w:after="120"/>
        <w:ind w:start="90" w:end="0"/>
        <w:jc w:val="both"/>
        <w:rPr>
          <w:sz w:val="22"/>
        </w:rPr>
      </w:pPr>
      <w:r>
        <w:rPr>
          <w:sz w:val="22"/>
        </w:rPr>
        <w:t>The eligible financial contract decision has not yet been rendered by the Court of Appeal, but is expected shortly.</w:t>
      </w:r>
    </w:p>
    <w:p>
      <w:pPr>
        <w:pStyle w:val="Body"/>
        <w:spacing w:before="120" w:after="120"/>
        <w:ind w:start="90" w:end="0"/>
        <w:jc w:val="both"/>
        <w:rPr>
          <w:sz w:val="22"/>
        </w:rPr>
      </w:pPr>
      <w:r>
        <w:rPr>
          <w:sz w:val="22"/>
        </w:rPr>
        <w:t xml:space="preserve">The set-off decision of the Court of Appeal, however, reverses Justice LeVecchio’s decision on set-off, and is very useful as it provides that the gas marketers are entitled to set-off payable amounts against the termination damages, whether or not those payables were incurred before or after the CCAA.  </w:t>
      </w:r>
    </w:p>
    <w:p>
      <w:pPr>
        <w:pStyle w:val="Body"/>
        <w:spacing w:before="120" w:after="120"/>
        <w:ind w:start="90" w:end="0"/>
        <w:jc w:val="both"/>
        <w:rPr>
          <w:sz w:val="22"/>
        </w:rPr>
      </w:pPr>
      <w:r>
        <w:rPr>
          <w:sz w:val="22"/>
        </w:rPr>
        <w:t xml:space="preserve">If the eligible financial contracts decision is also reversed in our favor, then, combined with this decision on set-off, no application to Court would be required in future insolvencies for the purposes of invoking termination and set-off.  </w:t>
      </w:r>
    </w:p>
    <w:p>
      <w:pPr>
        <w:pStyle w:val="Body"/>
        <w:spacing w:before="120" w:after="120"/>
        <w:ind w:start="90" w:end="0"/>
        <w:jc w:val="both"/>
        <w:rPr>
          <w:sz w:val="22"/>
        </w:rPr>
      </w:pPr>
      <w:r>
        <w:rPr>
          <w:sz w:val="22"/>
        </w:rPr>
        <w:t>Finally, I think it should be made clear, however, that rights of set-off cannot be made more than they are.  By this I mean our older form of Master Physical Agreement generally permits set-off only of amounts owing for physical transactions against termination damages owing for physical transactions, and does not allow cross set-off to financial transactions.  The standard form ISDA Master, however, does permit cross set-off between financial and physical transactions.  Accordingly, depending upon the particular circumstances of the insolvency and the then payables and in-the-money or out-of-the money positions, whether physically and/or financially, there maybe rights for cross set-off, but this should not be assumed.  In particular, you should note that in the case of Duke’s and Engage’s claims in Blue Range, there were no contractual rights to set-off and they were each relying on equitable rights of set-off, which essentially requires that the set-off amounts arise under the same contract.</w:t>
      </w:r>
    </w:p>
    <w:p>
      <w:pPr>
        <w:pStyle w:val="Body"/>
        <w:spacing w:before="120" w:after="120"/>
        <w:ind w:start="90" w:end="0"/>
        <w:jc w:val="both"/>
        <w:rPr>
          <w:sz w:val="22"/>
        </w:rPr>
      </w:pPr>
      <w:r>
        <w:rPr>
          <w:sz w:val="22"/>
        </w:rPr>
        <w:t>Regards, Peter</w:t>
      </w:r>
    </w:p>
    <w:p>
      <w:pPr>
        <w:pStyle w:val="Body"/>
        <w:ind w:start="90" w:end="0"/>
        <w:jc w:val="both"/>
        <w:rPr>
          <w:b/>
          <w:sz w:val="22"/>
        </w:rPr>
      </w:pPr>
      <w:r>
        <w:rPr>
          <w:b/>
          <w:sz w:val="22"/>
        </w:rPr>
      </w:r>
    </w:p>
    <w:p>
      <w:pPr>
        <w:pStyle w:val="Body"/>
        <w:ind w:start="90" w:end="0"/>
        <w:jc w:val="both"/>
        <w:rPr>
          <w:sz w:val="22"/>
        </w:rPr>
      </w:pPr>
      <w:r>
        <w:rPr>
          <w:sz w:val="22"/>
        </w:rPr>
        <w:t>PCMK/km</w:t>
      </w:r>
    </w:p>
    <w:p>
      <w:pPr>
        <w:pStyle w:val="Body"/>
        <w:ind w:start="90" w:end="0"/>
        <w:jc w:val="both"/>
        <w:rPr>
          <w:sz w:val="22"/>
        </w:rPr>
      </w:pPr>
      <w:r>
        <w:rPr>
          <w:sz w:val="22"/>
        </w:rPr>
        <w:t>Attachment ([1])</w:t>
      </w:r>
    </w:p>
    <w:p>
      <w:pPr>
        <w:pStyle w:val="Body"/>
        <w:ind w:start="90" w:end="0"/>
        <w:jc w:val="both"/>
        <w:rPr>
          <w:sz w:val="22"/>
        </w:rPr>
      </w:pPr>
      <w:r>
        <w:rPr>
          <w:sz w:val="22"/>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tabs>
        <w:tab w:val="clear" w:pos="4320"/>
        <w:tab w:val="left" w:pos="2430" w:leader="none"/>
        <w:tab w:val="left" w:pos="5310" w:leader="none"/>
        <w:tab w:val="right" w:pos="8640" w:leader="none"/>
        <w:tab w:val="right" w:pos="10800" w:leader="none"/>
      </w:tabs>
      <w:rPr>
        <w:b/>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/mnt/main-storage/datasets/enron-docs/doc/memo_to_J_Hodge.bluerange.140700.doc</w:t>
    </w:r>
    <w:r>
      <w:rPr>
        <w:sz w:val="16"/>
        <w:rFonts w:cs="Arial Narrow" w:ascii="Arial Narrow" w:hAnsi="Arial Narrow"/>
      </w:rPr>
      <w:fldChar w:fldCharType="end"/>
    </w:r>
    <w:r>
      <w:rPr>
        <w:rFonts w:cs="Arial Narrow" w:ascii="Arial Narrow" w:hAnsi="Arial Narrow"/>
        <w:sz w:val="16"/>
      </w:rPr>
      <w:tab/>
      <w:tab/>
      <w:tab/>
    </w:r>
    <w:r>
      <w:rPr>
        <w:rFonts w:cs="Arial Narrow" w:ascii="Arial Narrow" w:hAnsi="Arial Narrow"/>
        <w:sz w:val="16"/>
      </w:rPr>
      <w:fldChar w:fldCharType="begin"/>
    </w:r>
    <w:r>
      <w:rPr>
        <w:sz w:val="16"/>
        <w:rFonts w:cs="Arial Narrow" w:ascii="Arial Narrow" w:hAnsi="Arial Narrow"/>
      </w:rPr>
      <w:instrText xml:space="preserve"> DATE \@"MMMM\ d', 'yyyy" </w:instrText>
    </w:r>
    <w:r>
      <w:rPr>
        <w:sz w:val="16"/>
        <w:rFonts w:cs="Arial Narrow" w:ascii="Arial Narrow" w:hAnsi="Arial Narrow"/>
      </w:rPr>
      <w:fldChar w:fldCharType="separate"/>
    </w:r>
    <w:r>
      <w:rPr>
        <w:sz w:val="16"/>
        <w:rFonts w:cs="Arial Narrow" w:ascii="Arial Narrow" w:hAnsi="Arial Narrow"/>
      </w:rPr>
      <w:t>September 28, 2025</w:t>
    </w:r>
    <w:r>
      <w:rPr>
        <w:sz w:val="16"/>
        <w:rFonts w:cs="Arial Narrow" w:ascii="Arial Narrow" w:hAnsi="Arial Narrow"/>
      </w:rPr>
      <w:fldChar w:fldCharType="end"/>
    </w:r>
    <w:r>
      <w:rPr>
        <w:rFonts w:cs="Arial Narrow" w:ascii="Arial Narrow" w:hAnsi="Arial Narrow"/>
        <w:sz w:val="16"/>
      </w:rPr>
      <w:t xml:space="preserve">  </w:t>
    </w:r>
    <w:r>
      <w:rPr>
        <w:rFonts w:cs="Arial Narrow" w:ascii="Arial Narrow" w:hAnsi="Arial Narrow"/>
        <w:sz w:val="16"/>
      </w:rPr>
      <w:fldChar w:fldCharType="begin"/>
    </w:r>
    <w:r>
      <w:rPr>
        <w:sz w:val="16"/>
        <w:rFonts w:cs="Arial Narrow" w:ascii="Arial Narrow" w:hAnsi="Arial Narrow"/>
      </w:rPr>
      <w:instrText xml:space="preserve"> DATE \@"M/d/yyyy" </w:instrText>
    </w:r>
    <w:r>
      <w:rPr>
        <w:sz w:val="16"/>
        <w:rFonts w:cs="Arial Narrow" w:ascii="Arial Narrow" w:hAnsi="Arial Narrow"/>
      </w:rPr>
      <w:fldChar w:fldCharType="separate"/>
    </w:r>
    <w:r>
      <w:rPr>
        <w:sz w:val="16"/>
        <w:rFonts w:cs="Arial Narrow" w:ascii="Arial Narrow" w:hAnsi="Arial Narrow"/>
      </w:rPr>
      <w:t>9/28/2025</w:t>
    </w:r>
    <w:r>
      <w:rPr>
        <w:sz w:val="16"/>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6" w:space="1" w:color="000000"/>
      </w:pBdr>
      <w:tabs>
        <w:tab w:val="clear" w:pos="4320"/>
        <w:tab w:val="left" w:pos="2430" w:leader="none"/>
        <w:tab w:val="left" w:pos="5310" w:leader="none"/>
        <w:tab w:val="right" w:pos="8640" w:leader="none"/>
        <w:tab w:val="right" w:pos="10800" w:leader="none"/>
      </w:tabs>
      <w:rPr>
        <w:b/>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pPr>
    <w:r>
      <w:rPr>
        <w:rFonts w:cs="Arial Narrow" w:ascii="Arial Narrow" w:hAnsi="Arial Narrow"/>
        <w:sz w:val="16"/>
      </w:rPr>
      <w:fldChar w:fldCharType="begin"/>
    </w:r>
    <w:r>
      <w:rPr>
        <w:sz w:val="16"/>
        <w:rFonts w:cs="Arial Narrow" w:ascii="Arial Narrow" w:hAnsi="Arial Narrow"/>
      </w:rPr>
      <w:instrText xml:space="preserve"> FILENAME \p </w:instrText>
    </w:r>
    <w:r>
      <w:rPr>
        <w:sz w:val="16"/>
        <w:rFonts w:cs="Arial Narrow" w:ascii="Arial Narrow" w:hAnsi="Arial Narrow"/>
      </w:rPr>
      <w:fldChar w:fldCharType="separate"/>
    </w:r>
    <w:r>
      <w:rPr>
        <w:sz w:val="16"/>
        <w:rFonts w:cs="Arial Narrow" w:ascii="Arial Narrow" w:hAnsi="Arial Narrow"/>
      </w:rPr>
      <w:t>/mnt/main-storage/datasets/enron-docs/doc/memo_to_J_Hodge.bluerange.140700.doc</w:t>
    </w:r>
    <w:r>
      <w:rPr>
        <w:sz w:val="16"/>
        <w:rFonts w:cs="Arial Narrow" w:ascii="Arial Narrow" w:hAnsi="Arial Narrow"/>
      </w:rPr>
      <w:fldChar w:fldCharType="end"/>
    </w:r>
    <w:r>
      <w:rPr>
        <w:rFonts w:cs="Arial Narrow" w:ascii="Arial Narrow" w:hAnsi="Arial Narrow"/>
        <w:sz w:val="16"/>
      </w:rPr>
      <w:tab/>
      <w:tab/>
      <w:tab/>
    </w:r>
    <w:r>
      <w:rPr>
        <w:rFonts w:cs="Arial Narrow" w:ascii="Arial Narrow" w:hAnsi="Arial Narrow"/>
        <w:sz w:val="16"/>
      </w:rPr>
      <w:fldChar w:fldCharType="begin"/>
    </w:r>
    <w:r>
      <w:rPr>
        <w:sz w:val="16"/>
        <w:rFonts w:cs="Arial Narrow" w:ascii="Arial Narrow" w:hAnsi="Arial Narrow"/>
      </w:rPr>
      <w:instrText xml:space="preserve"> DATE \@"MMMM\ d', 'yyyy" </w:instrText>
    </w:r>
    <w:r>
      <w:rPr>
        <w:sz w:val="16"/>
        <w:rFonts w:cs="Arial Narrow" w:ascii="Arial Narrow" w:hAnsi="Arial Narrow"/>
      </w:rPr>
      <w:fldChar w:fldCharType="separate"/>
    </w:r>
    <w:r>
      <w:rPr>
        <w:sz w:val="16"/>
        <w:rFonts w:cs="Arial Narrow" w:ascii="Arial Narrow" w:hAnsi="Arial Narrow"/>
      </w:rPr>
      <w:t>September 28, 2025</w:t>
    </w:r>
    <w:r>
      <w:rPr>
        <w:sz w:val="16"/>
        <w:rFonts w:cs="Arial Narrow" w:ascii="Arial Narrow" w:hAnsi="Arial Narrow"/>
      </w:rPr>
      <w:fldChar w:fldCharType="end"/>
    </w:r>
    <w:r>
      <w:rPr>
        <w:rFonts w:cs="Arial Narrow" w:ascii="Arial Narrow" w:hAnsi="Arial Narrow"/>
        <w:sz w:val="16"/>
      </w:rPr>
      <w:t xml:space="preserve">  </w:t>
    </w:r>
    <w:r>
      <w:rPr>
        <w:rFonts w:cs="Arial Narrow" w:ascii="Arial Narrow" w:hAnsi="Arial Narrow"/>
        <w:sz w:val="16"/>
      </w:rPr>
      <w:fldChar w:fldCharType="begin"/>
    </w:r>
    <w:r>
      <w:rPr>
        <w:sz w:val="16"/>
        <w:rFonts w:cs="Arial Narrow" w:ascii="Arial Narrow" w:hAnsi="Arial Narrow"/>
      </w:rPr>
      <w:instrText xml:space="preserve"> DATE \@"M/d/yyyy" </w:instrText>
    </w:r>
    <w:r>
      <w:rPr>
        <w:sz w:val="16"/>
        <w:rFonts w:cs="Arial Narrow" w:ascii="Arial Narrow" w:hAnsi="Arial Narrow"/>
      </w:rPr>
      <w:fldChar w:fldCharType="separate"/>
    </w:r>
    <w:r>
      <w:rPr>
        <w:sz w:val="16"/>
        <w:rFonts w:cs="Arial Narrow" w:ascii="Arial Narrow" w:hAnsi="Arial Narrow"/>
      </w:rPr>
      <w:t>9/28/2025</w:t>
    </w:r>
    <w:r>
      <w:rPr>
        <w:sz w:val="16"/>
        <w:rFonts w:cs="Arial Narrow"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tab/>
    </w:r>
  </w:p>
  <w:p>
    <w:pPr>
      <w:pStyle w:val="Header"/>
      <w:rPr>
        <w:sz w:val="22"/>
      </w:rPr>
    </w:pPr>
    <w:r>
      <w:rPr>
        <w:sz w:val="22"/>
      </w:rPr>
      <w:fldChar w:fldCharType="begin"/>
    </w:r>
    <w:r>
      <w:rPr>
        <w:sz w:val="22"/>
      </w:rPr>
      <w:instrText xml:space="preserve"> DATE \@"M/d/yyyy" </w:instrText>
    </w:r>
    <w:r>
      <w:rPr>
        <w:sz w:val="22"/>
      </w:rPr>
      <w:fldChar w:fldCharType="separate"/>
    </w:r>
    <w:r>
      <w:rPr>
        <w:sz w:val="22"/>
      </w:rPr>
      <w:t>9/28/2025</w:t>
    </w:r>
    <w:r>
      <w:rPr>
        <w:sz w:val="22"/>
      </w:rPr>
      <w:fldChar w:fldCharType="end"/>
    </w:r>
  </w:p>
  <w:p>
    <w:pPr>
      <w:pStyle w:val="Header"/>
      <w:rPr>
        <w:sz w:val="22"/>
      </w:rPr>
    </w:pPr>
    <w:r>
      <w:rPr>
        <w:sz w:val="22"/>
      </w:rPr>
      <w:t xml:space="preserve">Page </w:t>
    </w:r>
    <w:r>
      <w:rPr>
        <w:sz w:val="22"/>
      </w:rPr>
      <w:fldChar w:fldCharType="begin"/>
    </w:r>
    <w:r>
      <w:rPr>
        <w:sz w:val="22"/>
      </w:rPr>
      <w:instrText xml:space="preserve"> PAGE </w:instrText>
    </w:r>
    <w:r>
      <w:rPr>
        <w:sz w:val="22"/>
      </w:rPr>
      <w:fldChar w:fldCharType="separate"/>
    </w:r>
    <w:r>
      <w:rPr>
        <w:sz w:val="22"/>
      </w:rPr>
      <w:t>2</w:t>
    </w:r>
    <w:r>
      <w:rPr>
        <w:sz w:val="22"/>
      </w:rPr>
      <w:fldChar w:fldCharType="end"/>
    </w:r>
  </w:p>
  <w:p>
    <w:pPr>
      <w:pStyle w:val="Header"/>
      <w:rPr>
        <w:sz w:val="22"/>
      </w:rPr>
    </w:pPr>
    <w:r>
      <w:rPr>
        <w:sz w:val="22"/>
      </w:rPr>
    </w:r>
  </w:p>
  <w:p>
    <w:pPr>
      <w:pStyle w:val="Header"/>
      <w:pBdr>
        <w:top w:val="single" w:sz="4" w:space="1" w:color="000000"/>
      </w:pBdr>
      <w:rPr>
        <w:sz w:val="22"/>
      </w:rPr>
    </w:pPr>
    <w:r>
      <w:rPr>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70485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4850"/>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BodyTextIndent">
    <w:name w:val="Body Text Indent"/>
    <w:basedOn w:val="Normal"/>
    <w:pPr>
      <w:spacing w:lineRule="atLeast" w:line="240"/>
      <w:ind w:hanging="0" w:start="72" w:end="0"/>
      <w:jc w:val="both"/>
    </w:pPr>
    <w:rPr>
      <w:color w:val="000000"/>
      <w:sz w:val="22"/>
      <w:lang w:eastAsia="en-US"/>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Ectmemo.dot</Template>
  <TotalTime>79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2000-07-14T17:20:00Z</dcterms:created>
  <dc:creator>ncappel</dc:creator>
  <dc:description/>
  <dc:language>en-CA</dc:language>
  <cp:lastModifiedBy>Kathleen McGreevy</cp:lastModifiedBy>
  <cp:lastPrinted>2000-07-18T14:30:00Z</cp:lastPrinted>
  <dcterms:modified xsi:type="dcterms:W3CDTF">2000-07-18T18:00:00Z</dcterms:modified>
  <cp:revision>8</cp:revision>
  <dc:subject/>
  <dc:title>Eron Capital &amp; Trade Resources Memo</dc:title>
</cp:coreProperties>
</file>