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5" w:type="dxa"/>
        <w:jc w:val="center"/>
        <w:tblInd w:w="0" w:type="dxa"/>
        <w:tblLayout w:type="fixed"/>
        <w:tblCellMar>
          <w:top w:w="0" w:type="dxa"/>
          <w:start w:w="0" w:type="dxa"/>
          <w:bottom w:w="0" w:type="dxa"/>
          <w:end w:w="0" w:type="dxa"/>
        </w:tblCellMar>
      </w:tblPr>
      <w:tblGrid>
        <w:gridCol w:w="3374"/>
        <w:gridCol w:w="3374"/>
        <w:gridCol w:w="3377"/>
      </w:tblGrid>
      <w:tr>
        <w:trPr>
          <w:trHeight w:val="403" w:hRule="atLeast"/>
        </w:trPr>
        <w:tc>
          <w:tcPr>
            <w:tcW w:w="10125" w:type="dxa"/>
            <w:gridSpan w:val="3"/>
            <w:tcBorders/>
          </w:tcPr>
          <w:p>
            <w:pPr>
              <w:pStyle w:val="Normal"/>
              <w:jc w:val="center"/>
              <w:rPr>
                <w:rFonts w:ascii="GoudyOlSt BT;Georgia" w:hAnsi="GoudyOlSt BT;Georgia" w:cs="GoudyOlSt BT;Georgia"/>
                <w:b/>
                <w:smallCaps/>
                <w:sz w:val="40"/>
              </w:rPr>
            </w:pPr>
            <w:r>
              <w:rPr>
                <w:rFonts w:cs="GoudyOlSt BT;Georgia" w:ascii="GoudyOlSt BT;Georgia" w:hAnsi="GoudyOlSt BT;Georgia"/>
                <w:b/>
                <w:smallCaps/>
                <w:sz w:val="40"/>
              </w:rPr>
              <w:t>Swidler Berlin Shereff Friedman, llp</w:t>
            </w:r>
          </w:p>
        </w:tc>
      </w:tr>
      <w:tr>
        <w:trPr>
          <w:trHeight w:val="1786" w:hRule="exact"/>
        </w:trPr>
        <w:tc>
          <w:tcPr>
            <w:tcW w:w="3374" w:type="dxa"/>
            <w:tcBorders/>
            <w:vAlign w:val="bottom"/>
          </w:tcPr>
          <w:p>
            <w:pPr>
              <w:pStyle w:val="Normal"/>
              <w:snapToGrid w:val="false"/>
              <w:rPr>
                <w:rFonts w:ascii="GoudyOlSt BT;Georgia" w:hAnsi="GoudyOlSt BT;Georgia" w:cs="GoudyOlSt BT;Georgia"/>
                <w:b/>
                <w:smallCaps/>
                <w:sz w:val="16"/>
              </w:rPr>
            </w:pPr>
            <w:r>
              <w:rPr>
                <w:rFonts w:cs="GoudyOlSt BT;Georgia" w:ascii="GoudyOlSt BT;Georgia" w:hAnsi="GoudyOlSt BT;Georgia"/>
                <w:b/>
                <w:smallCaps/>
                <w:sz w:val="16"/>
              </w:rPr>
            </w:r>
          </w:p>
        </w:tc>
        <w:tc>
          <w:tcPr>
            <w:tcW w:w="3374" w:type="dxa"/>
            <w:tcBorders/>
          </w:tcPr>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The Washington Harbour</w:t>
            </w:r>
          </w:p>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3000 K Street, NW, Suite 300</w:t>
            </w:r>
          </w:p>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Washington, DC  20007-5116</w:t>
            </w:r>
          </w:p>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 xml:space="preserve">Telephone (202) 424-7500 </w:t>
            </w:r>
          </w:p>
          <w:p>
            <w:pPr>
              <w:pStyle w:val="Normal"/>
              <w:jc w:val="center"/>
              <w:rPr>
                <w:rFonts w:ascii="GoudyOlSt BT;Georgia" w:hAnsi="GoudyOlSt BT;Georgia" w:cs="GoudyOlSt BT;Georgia"/>
                <w:smallCaps/>
                <w:sz w:val="20"/>
              </w:rPr>
            </w:pPr>
            <w:r>
              <w:rPr>
                <w:rFonts w:cs="GoudyOlSt BT;Georgia" w:ascii="GoudyOlSt BT;Georgia" w:hAnsi="GoudyOlSt BT;Georgia"/>
                <w:smallCaps/>
                <w:sz w:val="20"/>
              </w:rPr>
              <w:t>Facsimile (202) 424-7647</w:t>
            </w:r>
          </w:p>
          <w:p>
            <w:pPr>
              <w:pStyle w:val="Normal"/>
              <w:jc w:val="center"/>
              <w:rPr>
                <w:rFonts w:ascii="Garamond" w:hAnsi="Garamond" w:cs="Garamond"/>
                <w:smallCaps/>
                <w:sz w:val="20"/>
              </w:rPr>
            </w:pPr>
            <w:r>
              <w:rPr>
                <w:rFonts w:cs="GoudyOlSt BT;Georgia" w:ascii="GoudyOlSt BT;Georgia" w:hAnsi="GoudyOlSt BT;Georgia"/>
                <w:smallCaps/>
                <w:sz w:val="20"/>
              </w:rPr>
              <w:t>www.swidlaw.com</w:t>
            </w:r>
          </w:p>
          <w:p>
            <w:pPr>
              <w:pStyle w:val="Normal"/>
              <w:jc w:val="center"/>
              <w:rPr>
                <w:rFonts w:ascii="Garamond" w:hAnsi="Garamond" w:cs="Garamond"/>
                <w:smallCaps/>
                <w:sz w:val="20"/>
              </w:rPr>
            </w:pPr>
            <w:r>
              <w:rPr>
                <w:rFonts w:cs="Garamond" w:ascii="Garamond" w:hAnsi="Garamond"/>
                <w:smallCaps/>
                <w:sz w:val="20"/>
              </w:rPr>
            </w:r>
          </w:p>
          <w:p>
            <w:pPr>
              <w:pStyle w:val="Normal"/>
              <w:jc w:val="center"/>
              <w:rPr>
                <w:rFonts w:ascii="Garamond" w:hAnsi="Garamond" w:cs="Garamond"/>
                <w:smallCaps/>
                <w:sz w:val="20"/>
              </w:rPr>
            </w:pPr>
            <w:r>
              <w:rPr>
                <w:rFonts w:cs="Garamond" w:ascii="Garamond" w:hAnsi="Garamond"/>
                <w:smallCaps/>
                <w:sz w:val="20"/>
              </w:rPr>
            </w:r>
          </w:p>
          <w:p>
            <w:pPr>
              <w:pStyle w:val="Normal"/>
              <w:jc w:val="center"/>
              <w:rPr>
                <w:rFonts w:ascii="Garamond" w:hAnsi="Garamond" w:cs="Garamond"/>
                <w:sz w:val="20"/>
              </w:rPr>
            </w:pPr>
            <w:r>
              <w:rPr>
                <w:rFonts w:eastAsia="Garamond" w:cs="Garamond" w:ascii="Garamond" w:hAnsi="Garamond"/>
                <w:smallCaps/>
                <w:sz w:val="20"/>
              </w:rPr>
              <w:t xml:space="preserve"> </w:t>
            </w:r>
            <w:hyperlink r:id="rId2">
              <w:r>
                <w:rPr>
                  <w:rStyle w:val="Hyperlink"/>
                  <w:rFonts w:cs="Garamond" w:ascii="Garamond" w:hAnsi="Garamond"/>
                  <w:sz w:val="20"/>
                </w:rPr>
                <w:t>www.swidlaw.com</w:t>
              </w:r>
            </w:hyperlink>
          </w:p>
        </w:tc>
        <w:tc>
          <w:tcPr>
            <w:tcW w:w="3377" w:type="dxa"/>
            <w:tcBorders/>
            <w:vAlign w:val="bottom"/>
          </w:tcPr>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New York Office</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The Chrysler Building</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405 Lexington Avenue</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New York, NY  10174</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 xml:space="preserve">Tel.(212) 973-0111 </w:t>
            </w:r>
          </w:p>
          <w:p>
            <w:pPr>
              <w:pStyle w:val="Normal"/>
              <w:jc w:val="end"/>
              <w:rPr>
                <w:rFonts w:ascii="GoudyOlSt BT;Georgia" w:hAnsi="GoudyOlSt BT;Georgia" w:cs="GoudyOlSt BT;Georgia"/>
                <w:smallCaps/>
                <w:sz w:val="16"/>
              </w:rPr>
            </w:pPr>
            <w:r>
              <w:rPr>
                <w:rFonts w:cs="GoudyOlSt BT;Georgia" w:ascii="GoudyOlSt BT;Georgia" w:hAnsi="GoudyOlSt BT;Georgia"/>
                <w:smallCaps/>
                <w:sz w:val="16"/>
              </w:rPr>
              <w:t>Fax (212) 891-9598</w:t>
            </w:r>
          </w:p>
        </w:tc>
      </w:tr>
    </w:tbl>
    <w:p>
      <w:pPr>
        <w:pStyle w:val="Caption"/>
        <w:spacing w:before="360" w:after="0"/>
        <w:rPr>
          <w:u w:val="single"/>
        </w:rPr>
      </w:pPr>
      <w:r>
        <w:rPr>
          <w:u w:val="single"/>
        </w:rPr>
        <w:t>MEMORANDUM</w:t>
      </w:r>
    </w:p>
    <w:p>
      <w:pPr>
        <w:pStyle w:val="Normal"/>
        <w:jc w:val="center"/>
        <w:rPr>
          <w:b/>
          <w:u w:val="single"/>
        </w:rPr>
      </w:pPr>
      <w:r>
        <w:rPr>
          <w:b/>
          <w:u w:val="single"/>
        </w:rPr>
        <w:t>Attorney Client Communication</w:t>
      </w:r>
    </w:p>
    <w:p>
      <w:pPr>
        <w:pStyle w:val="Normal"/>
        <w:jc w:val="center"/>
        <w:rPr>
          <w:b/>
          <w:u w:val="single"/>
        </w:rPr>
      </w:pPr>
      <w:r>
        <w:rPr>
          <w:b/>
          <w:u w:val="single"/>
        </w:rPr>
        <w:t>Privileged and Confidential</w:t>
      </w:r>
    </w:p>
    <w:p>
      <w:pPr>
        <w:pStyle w:val="Normal"/>
        <w:rPr/>
      </w:pPr>
      <w:r>
        <w:rPr/>
      </w:r>
    </w:p>
    <w:p>
      <w:pPr>
        <w:pStyle w:val="Normal"/>
        <w:rPr>
          <w:b/>
          <w:u w:val="single"/>
        </w:rPr>
      </w:pPr>
      <w:r>
        <w:rPr>
          <w:b/>
          <w:u w:val="single"/>
        </w:rPr>
        <w:t>VIA E-MAIL AND HAND DELIVERY</w:t>
      </w:r>
    </w:p>
    <w:p>
      <w:pPr>
        <w:pStyle w:val="Normal"/>
        <w:rPr>
          <w:b/>
          <w:u w:val="single"/>
        </w:rPr>
      </w:pPr>
      <w:r>
        <w:rPr>
          <w:b/>
          <w:u w:val="single"/>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1458" w:type="dxa"/>
            <w:tcBorders/>
          </w:tcPr>
          <w:p>
            <w:pPr>
              <w:pStyle w:val="Normal"/>
              <w:rPr>
                <w:b/>
              </w:rPr>
            </w:pPr>
            <w:r>
              <w:rPr>
                <w:b/>
              </w:rPr>
              <w:t>TO:</w:t>
            </w:r>
          </w:p>
        </w:tc>
        <w:tc>
          <w:tcPr>
            <w:tcW w:w="7398" w:type="dxa"/>
            <w:tcBorders/>
          </w:tcPr>
          <w:p>
            <w:pPr>
              <w:pStyle w:val="Normal"/>
              <w:rPr/>
            </w:pPr>
            <w:bookmarkStart w:id="0" w:name="bmktonam"/>
            <w:bookmarkEnd w:id="0"/>
            <w:r>
              <w:rPr/>
              <w:t xml:space="preserve">Richard Buy                                        </w:t>
            </w:r>
          </w:p>
        </w:tc>
      </w:tr>
      <w:tr>
        <w:trPr/>
        <w:tc>
          <w:tcPr>
            <w:tcW w:w="1458" w:type="dxa"/>
            <w:tcBorders/>
          </w:tcPr>
          <w:p>
            <w:pPr>
              <w:pStyle w:val="Normal"/>
              <w:spacing w:before="240" w:after="240"/>
              <w:rPr>
                <w:b/>
              </w:rPr>
            </w:pPr>
            <w:r>
              <w:rPr>
                <w:b/>
              </w:rPr>
              <w:t>FROM:</w:t>
            </w:r>
          </w:p>
        </w:tc>
        <w:tc>
          <w:tcPr>
            <w:tcW w:w="7398" w:type="dxa"/>
            <w:tcBorders/>
          </w:tcPr>
          <w:p>
            <w:pPr>
              <w:pStyle w:val="Header"/>
              <w:tabs>
                <w:tab w:val="clear" w:pos="4320"/>
                <w:tab w:val="clear" w:pos="8640"/>
              </w:tabs>
              <w:rPr/>
            </w:pPr>
            <w:bookmarkStart w:id="1" w:name="bmktofrom"/>
            <w:bookmarkEnd w:id="1"/>
            <w:r>
              <w:rPr/>
              <w:t>Michael N. Levy</w:t>
            </w:r>
          </w:p>
          <w:p>
            <w:pPr>
              <w:pStyle w:val="Header"/>
              <w:tabs>
                <w:tab w:val="clear" w:pos="4320"/>
                <w:tab w:val="clear" w:pos="8640"/>
              </w:tabs>
              <w:rPr/>
            </w:pPr>
            <w:r>
              <w:rPr/>
              <w:t>Amy K. Carpenter-Holmes</w:t>
            </w:r>
          </w:p>
        </w:tc>
      </w:tr>
      <w:tr>
        <w:trPr/>
        <w:tc>
          <w:tcPr>
            <w:tcW w:w="1458" w:type="dxa"/>
            <w:tcBorders/>
          </w:tcPr>
          <w:p>
            <w:pPr>
              <w:pStyle w:val="Normal"/>
              <w:spacing w:before="0" w:after="240"/>
              <w:rPr>
                <w:b/>
              </w:rPr>
            </w:pPr>
            <w:r>
              <w:rPr>
                <w:b/>
              </w:rPr>
              <w:t>DATE:</w:t>
            </w:r>
          </w:p>
        </w:tc>
        <w:tc>
          <w:tcPr>
            <w:tcW w:w="7398" w:type="dxa"/>
            <w:tcBorders/>
          </w:tcPr>
          <w:p>
            <w:pPr>
              <w:pStyle w:val="Normal"/>
              <w:spacing w:before="0" w:after="240"/>
              <w:rPr/>
            </w:pPr>
            <w:r>
              <w:rPr/>
              <w:t>January 10, 2002</w:t>
            </w:r>
          </w:p>
        </w:tc>
      </w:tr>
      <w:tr>
        <w:trPr/>
        <w:tc>
          <w:tcPr>
            <w:tcW w:w="1458" w:type="dxa"/>
            <w:tcBorders/>
          </w:tcPr>
          <w:p>
            <w:pPr>
              <w:pStyle w:val="Normal"/>
              <w:spacing w:before="0" w:after="240"/>
              <w:rPr>
                <w:b/>
              </w:rPr>
            </w:pPr>
            <w:r>
              <w:rPr>
                <w:b/>
              </w:rPr>
              <w:t>RE:</w:t>
            </w:r>
          </w:p>
        </w:tc>
        <w:tc>
          <w:tcPr>
            <w:tcW w:w="7398" w:type="dxa"/>
            <w:tcBorders/>
          </w:tcPr>
          <w:p>
            <w:pPr>
              <w:pStyle w:val="Normal"/>
              <w:spacing w:before="0" w:after="240"/>
              <w:rPr/>
            </w:pPr>
            <w:bookmarkStart w:id="2" w:name="bmkre"/>
            <w:bookmarkEnd w:id="2"/>
            <w:r>
              <w:rPr/>
              <w:t>SEC Subpoena</w:t>
            </w:r>
          </w:p>
        </w:tc>
      </w:tr>
    </w:tbl>
    <w:p>
      <w:pPr>
        <w:pStyle w:val="NormalIndent"/>
        <w:ind w:start="0" w:end="0"/>
        <w:rPr>
          <w:u w:val="double"/>
        </w:rPr>
      </w:pPr>
      <w:r>
        <w:rPr>
          <w:u w:val="double"/>
        </w:rPr>
        <w:t>________________________________________________________________________</w:t>
      </w:r>
    </w:p>
    <w:p>
      <w:pPr>
        <w:pStyle w:val="Header"/>
        <w:tabs>
          <w:tab w:val="clear" w:pos="4320"/>
          <w:tab w:val="clear" w:pos="8640"/>
        </w:tabs>
        <w:rPr/>
      </w:pPr>
      <w:r>
        <w:rPr/>
        <w:tab/>
      </w:r>
      <w:bookmarkStart w:id="3" w:name="bmkfrstpara"/>
      <w:bookmarkEnd w:id="3"/>
    </w:p>
    <w:p>
      <w:pPr>
        <w:pStyle w:val="Header"/>
        <w:tabs>
          <w:tab w:val="clear" w:pos="4320"/>
          <w:tab w:val="clear" w:pos="8640"/>
        </w:tabs>
        <w:rPr/>
      </w:pPr>
      <w:r>
        <w:rPr/>
        <w:tab/>
        <w:t>As you are aware, the SEC has issued a subpoena to you for the production of documents and testimony.  Attached to this Memorandum is a copy of the subpoena.  It is extremely important that you thoroughly read, understand, and fully and completely respond to the subpoena and this Memorandum.</w:t>
      </w:r>
    </w:p>
    <w:p>
      <w:pPr>
        <w:pStyle w:val="Header"/>
        <w:tabs>
          <w:tab w:val="clear" w:pos="4320"/>
          <w:tab w:val="clear" w:pos="8640"/>
        </w:tabs>
        <w:ind w:firstLine="720" w:end="0"/>
        <w:rPr/>
      </w:pPr>
      <w:r>
        <w:rPr/>
      </w:r>
    </w:p>
    <w:p>
      <w:pPr>
        <w:pStyle w:val="Header"/>
        <w:tabs>
          <w:tab w:val="clear" w:pos="4320"/>
          <w:tab w:val="clear" w:pos="8640"/>
        </w:tabs>
        <w:ind w:firstLine="720" w:end="0"/>
        <w:rPr/>
      </w:pPr>
      <w:r>
        <w:rPr/>
        <w:t>We have negotiated with the SEC with regard to the dates noted in the subpoena and with regard to the documents requested.  As of now, the SEC has requested that you produce the following categories of documents:</w:t>
      </w:r>
    </w:p>
    <w:p>
      <w:pPr>
        <w:pStyle w:val="Header"/>
        <w:tabs>
          <w:tab w:val="clear" w:pos="4320"/>
          <w:tab w:val="clear" w:pos="8640"/>
        </w:tabs>
        <w:rPr/>
      </w:pPr>
      <w:r>
        <w:rPr/>
      </w:r>
    </w:p>
    <w:p>
      <w:pPr>
        <w:pStyle w:val="Header"/>
        <w:numPr>
          <w:ilvl w:val="0"/>
          <w:numId w:val="3"/>
        </w:numPr>
        <w:tabs>
          <w:tab w:val="clear" w:pos="4320"/>
          <w:tab w:val="clear" w:pos="8640"/>
        </w:tabs>
        <w:rPr/>
      </w:pPr>
      <w:r>
        <w:rPr/>
        <w:t>any documents responsive to category “C” of the subpoena, which reads:</w:t>
      </w:r>
    </w:p>
    <w:p>
      <w:pPr>
        <w:pStyle w:val="Header"/>
        <w:tabs>
          <w:tab w:val="clear" w:pos="4320"/>
          <w:tab w:val="clear" w:pos="8640"/>
        </w:tabs>
        <w:rPr/>
      </w:pPr>
      <w:r>
        <w:rPr/>
      </w:r>
    </w:p>
    <w:p>
      <w:pPr>
        <w:pStyle w:val="BodyText"/>
        <w:ind w:start="1440" w:end="0"/>
        <w:rPr/>
      </w:pPr>
      <w:r>
        <w:rPr/>
        <w:t>C.</w:t>
        <w:tab/>
        <w:t>All documents concerning any entity with which you have or had any interest or association that at any time had an agreement, contract, transaction or any other business or financial relationship or agreement with Enron.  Your response to this request should include any entity or trust owned, operated, or controlled by you or of which you have any pecuniary interest, or any entity of which you are or were employed, that has transacted business with Enron, including but not limited to Chewco, LJM Cayman LP and LJM2 Co-Investment LP.</w:t>
      </w:r>
    </w:p>
    <w:p>
      <w:pPr>
        <w:pStyle w:val="Header"/>
        <w:numPr>
          <w:ilvl w:val="0"/>
          <w:numId w:val="3"/>
        </w:numPr>
        <w:tabs>
          <w:tab w:val="clear" w:pos="4320"/>
          <w:tab w:val="clear" w:pos="8640"/>
        </w:tabs>
        <w:rPr/>
      </w:pPr>
      <w:r>
        <w:rPr/>
        <w:t>any documents responsive to category “D” of the subpoena, which reads:</w:t>
      </w:r>
    </w:p>
    <w:p>
      <w:pPr>
        <w:pStyle w:val="Header"/>
        <w:tabs>
          <w:tab w:val="clear" w:pos="4320"/>
          <w:tab w:val="clear" w:pos="8640"/>
        </w:tabs>
        <w:rPr/>
      </w:pPr>
      <w:r>
        <w:rPr/>
      </w:r>
    </w:p>
    <w:p>
      <w:pPr>
        <w:pStyle w:val="BodyText"/>
        <w:ind w:start="1440" w:end="0"/>
        <w:rPr/>
      </w:pPr>
      <w:r>
        <w:rPr/>
        <w:t>D.</w:t>
        <w:tab/>
        <w:t>All documents concerning any securities brokerage accounts: (i) in your name (and/or in the name of any member of your household), (ii) in which you (and/or any member of your household) have or had any beneficial or pecuniary interest, and (iii) over which you (and/or any member of your household) exercise or exercised any direct or indirect control, including, but not limited to:</w:t>
      </w:r>
    </w:p>
    <w:p>
      <w:pPr>
        <w:pStyle w:val="BodyText"/>
        <w:numPr>
          <w:ilvl w:val="0"/>
          <w:numId w:val="2"/>
        </w:numPr>
        <w:tabs>
          <w:tab w:val="clear" w:pos="720"/>
          <w:tab w:val="left" w:pos="2880" w:leader="none"/>
        </w:tabs>
        <w:ind w:hanging="720" w:start="2880" w:end="0"/>
        <w:rPr/>
      </w:pPr>
      <w:r>
        <w:rPr/>
        <w:t>All account opening documents, including but not limited to, new account forms, deposit documentation, trading authorizations, margin agreements, option agreements, powers of attorney, discretionary agreements and signature cards.</w:t>
      </w:r>
    </w:p>
    <w:p>
      <w:pPr>
        <w:pStyle w:val="BodyText"/>
        <w:numPr>
          <w:ilvl w:val="0"/>
          <w:numId w:val="2"/>
        </w:numPr>
        <w:tabs>
          <w:tab w:val="clear" w:pos="720"/>
          <w:tab w:val="left" w:pos="2880" w:leader="none"/>
        </w:tabs>
        <w:ind w:hanging="720" w:start="2880" w:end="0"/>
        <w:rPr/>
      </w:pPr>
      <w:r>
        <w:rPr/>
        <w:t>All monthly and other periodic account statements for the period January 1, 1998 through the present.</w:t>
      </w:r>
    </w:p>
    <w:p>
      <w:pPr>
        <w:pStyle w:val="BodyText"/>
        <w:numPr>
          <w:ilvl w:val="0"/>
          <w:numId w:val="2"/>
        </w:numPr>
        <w:tabs>
          <w:tab w:val="clear" w:pos="720"/>
          <w:tab w:val="left" w:pos="2880" w:leader="none"/>
        </w:tabs>
        <w:ind w:hanging="720" w:start="2880" w:end="0"/>
        <w:rPr/>
      </w:pPr>
      <w:r>
        <w:rPr/>
        <w:t>All confirmations and order tickets of all purchases and sales or other dispositions of the securities of Enron for the period January 1, 1998 through the present.</w:t>
      </w:r>
    </w:p>
    <w:p>
      <w:pPr>
        <w:pStyle w:val="BodyText"/>
        <w:numPr>
          <w:ilvl w:val="0"/>
          <w:numId w:val="2"/>
        </w:numPr>
        <w:tabs>
          <w:tab w:val="clear" w:pos="720"/>
          <w:tab w:val="left" w:pos="2880" w:leader="none"/>
        </w:tabs>
        <w:ind w:hanging="720" w:start="2880" w:end="0"/>
        <w:rPr/>
      </w:pPr>
      <w:r>
        <w:rPr/>
        <w:t>All documents  regarding transactions in the securities of Enron for the period January 1, 1998 through the present, including but not limited to, correspondence, special instructions, faxes, Emails, telexes, notes, wires and agreements.</w:t>
      </w:r>
    </w:p>
    <w:p>
      <w:pPr>
        <w:pStyle w:val="Header"/>
        <w:tabs>
          <w:tab w:val="clear" w:pos="4320"/>
          <w:tab w:val="clear" w:pos="8640"/>
        </w:tabs>
        <w:ind w:firstLine="630" w:start="90" w:end="0"/>
        <w:rPr/>
      </w:pPr>
      <w:r>
        <w:rPr/>
        <w:t>You must produce any responsive documents in your possession, custody, or control, whether at the office, at home, or at any other location.  You must also produce all originals and nonconforming copies (</w:t>
      </w:r>
      <w:r>
        <w:rPr>
          <w:u w:val="single"/>
        </w:rPr>
        <w:t>i.e.</w:t>
      </w:r>
      <w:r>
        <w:rPr/>
        <w:t>, copies with handwritten notes or any other alteration of the original), with attachments.  Moreover, because the SEC has reserved the right to seek additional documents from you at a later time, please retain all documents relating in any way to Enron or otherwise called for by the subpoena, even if not within the categories described above.</w:t>
      </w:r>
    </w:p>
    <w:p>
      <w:pPr>
        <w:pStyle w:val="Header"/>
        <w:tabs>
          <w:tab w:val="clear" w:pos="4320"/>
          <w:tab w:val="clear" w:pos="8640"/>
        </w:tabs>
        <w:ind w:firstLine="630" w:start="90" w:end="0"/>
        <w:rPr/>
      </w:pPr>
      <w:r>
        <w:rPr/>
      </w:r>
    </w:p>
    <w:p>
      <w:pPr>
        <w:pStyle w:val="Header"/>
        <w:tabs>
          <w:tab w:val="clear" w:pos="4320"/>
          <w:tab w:val="clear" w:pos="8640"/>
        </w:tabs>
        <w:ind w:firstLine="630" w:start="90" w:end="0"/>
        <w:rPr/>
      </w:pPr>
      <w:r>
        <w:rPr/>
        <w:t xml:space="preserve">In anticipation of your upcoming SEC testimony, we request that you compile these documents no later than Wednesday, January 17, 2001.  Lisa Plegge, our legal assistant, will be contacting you next week to coordinate the collection of these documents.  If you previously provided these documents to J.C. Nickens, you do not have to duplicate your efforts.  In that case, please let us know that the documents are in Mr. Nickens’ possession.  If you have any questions relating to this request, please call Amy Carpenter-Holmes (Enron number: 713-345-2569); (Washington number: 202-424-7732).  </w:t>
      </w:r>
    </w:p>
    <w:p>
      <w:pPr>
        <w:pStyle w:val="Header"/>
        <w:tabs>
          <w:tab w:val="clear" w:pos="4320"/>
          <w:tab w:val="clear" w:pos="8640"/>
        </w:tabs>
        <w:ind w:firstLine="630" w:start="90" w:end="0"/>
        <w:rPr>
          <w:sz w:val="16"/>
        </w:rPr>
      </w:pPr>
      <w:r>
        <w:rPr>
          <w:sz w:val="16"/>
        </w:rPr>
      </w:r>
    </w:p>
    <w:p>
      <w:pPr>
        <w:pStyle w:val="Header"/>
        <w:tabs>
          <w:tab w:val="clear" w:pos="4320"/>
          <w:tab w:val="clear" w:pos="8640"/>
        </w:tabs>
        <w:ind w:firstLine="630" w:start="90" w:end="0"/>
        <w:rPr>
          <w:sz w:val="16"/>
        </w:rPr>
      </w:pPr>
      <w:r>
        <w:rPr>
          <w:sz w:val="16"/>
        </w:rPr>
      </w:r>
    </w:p>
    <w:p>
      <w:pPr>
        <w:pStyle w:val="Header"/>
        <w:tabs>
          <w:tab w:val="clear" w:pos="4320"/>
          <w:tab w:val="clear" w:pos="8640"/>
        </w:tabs>
        <w:ind w:firstLine="630" w:start="90" w:end="0"/>
        <w:rPr/>
      </w:pPr>
      <w:r>
        <w:rPr/>
      </w:r>
    </w:p>
    <w:sectPr>
      <w:footerReference w:type="default" r:id="rId3"/>
      <w:footerReference w:type="first" r:id="rId4"/>
      <w:type w:val="nextPage"/>
      <w:pgSz w:w="12240" w:h="15840"/>
      <w:pgMar w:left="1800" w:right="1800" w:gutter="0" w:header="0" w:top="864"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GoudyOlSt BT">
    <w:altName w:val="Georgia"/>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6174193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next w:val="Normal"/>
    <w:qFormat/>
    <w:pPr>
      <w:jc w:val="center"/>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spacing w:before="0" w:after="24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widlaw.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DC Firm Memo General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2002-01-10T15:26:00Z</dcterms:created>
  <dc:creator>HolmesAC</dc:creator>
  <dc:description/>
  <dc:language>en-CA</dc:language>
  <cp:lastModifiedBy>jcooley</cp:lastModifiedBy>
  <cp:lastPrinted>2002-01-10T10:17:00Z</cp:lastPrinted>
  <dcterms:modified xsi:type="dcterms:W3CDTF">2002-01-11T14:56:00Z</dcterms:modified>
  <cp:revision>4</cp:revision>
  <dc:subject/>
  <dc:title>Swidler Berlin</dc:title>
</cp:coreProperties>
</file>