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tabs>
          <w:tab w:val="clear" w:pos="1800"/>
        </w:tabs>
        <w:spacing w:lineRule="auto" w:line="360" w:before="140" w:after="0"/>
        <w:ind w:start="0" w:end="0"/>
        <w:jc w:val="center"/>
        <w:rPr>
          <w:color w:val="000000"/>
          <w:sz w:val="52"/>
        </w:rPr>
      </w:pPr>
      <w:r>
        <w:rPr>
          <w:color w:val="000000"/>
          <w:sz w:val="52"/>
        </w:rPr>
        <w:t>Memorandum</w:t>
      </w:r>
    </w:p>
    <w:p>
      <w:pPr>
        <w:pStyle w:val="MessageHeaderFirst"/>
        <w:keepLines w:val="false"/>
        <w:tabs>
          <w:tab w:val="clear" w:pos="1560"/>
        </w:tabs>
        <w:ind w:hanging="0" w:start="0" w:end="0"/>
        <w:rPr/>
      </w:pPr>
      <w:r>
        <w:rPr>
          <w:rStyle w:val="MessageHeaderLabel"/>
          <w:b w:val="false"/>
          <w:color w:val="000000"/>
        </w:rPr>
        <w:t>To:</w:t>
      </w:r>
      <w:r>
        <w:rPr>
          <w:color w:val="000000"/>
        </w:rPr>
        <w:tab/>
        <w:tab/>
        <w:t>Craig Carver</w:t>
      </w:r>
    </w:p>
    <w:p>
      <w:pPr>
        <w:pStyle w:val="MessageHeader"/>
        <w:keepLines w:val="false"/>
        <w:tabs>
          <w:tab w:val="clear" w:pos="1560"/>
        </w:tabs>
        <w:spacing w:lineRule="auto" w:line="240"/>
        <w:ind w:hanging="0" w:start="0" w:end="0"/>
        <w:rPr/>
      </w:pPr>
      <w:r>
        <w:rPr>
          <w:rStyle w:val="MessageHeaderLabel"/>
          <w:b w:val="false"/>
          <w:color w:val="000000"/>
        </w:rPr>
        <w:t>From:</w:t>
      </w:r>
      <w:r>
        <w:rPr>
          <w:color w:val="000000"/>
        </w:rPr>
        <w:tab/>
        <w:tab/>
        <w:t>Michelle Carmody</w:t>
      </w:r>
    </w:p>
    <w:p>
      <w:pPr>
        <w:pStyle w:val="MessageHeader"/>
        <w:keepLines w:val="false"/>
        <w:tabs>
          <w:tab w:val="clear" w:pos="1560"/>
        </w:tabs>
        <w:spacing w:lineRule="auto" w:line="240"/>
        <w:ind w:hanging="0" w:start="0" w:end="0"/>
        <w:rPr/>
      </w:pPr>
      <w:r>
        <w:rPr>
          <w:rStyle w:val="MessageHeaderLabel"/>
          <w:b w:val="false"/>
          <w:color w:val="000000"/>
        </w:rPr>
        <w:t>Date:</w:t>
      </w:r>
      <w:r>
        <w:rPr>
          <w:color w:val="000000"/>
        </w:rPr>
        <w:tab/>
        <w:tab/>
        <w:t>September 13, 2000</w:t>
      </w:r>
    </w:p>
    <w:p>
      <w:pPr>
        <w:pStyle w:val="MessageHeader"/>
        <w:keepLines w:val="false"/>
        <w:tabs>
          <w:tab w:val="clear" w:pos="1560"/>
        </w:tabs>
        <w:spacing w:lineRule="auto" w:line="240"/>
        <w:ind w:hanging="0" w:start="0" w:end="0"/>
        <w:rPr/>
      </w:pPr>
      <w:r>
        <w:rPr>
          <w:rStyle w:val="MessageHeaderLabel"/>
          <w:b w:val="false"/>
          <w:color w:val="000000"/>
        </w:rPr>
        <w:t>Client:</w:t>
      </w:r>
      <w:r>
        <w:rPr>
          <w:color w:val="000000"/>
        </w:rPr>
        <w:tab/>
        <w:tab/>
        <w:t>0204-0001</w:t>
      </w:r>
    </w:p>
    <w:p>
      <w:pPr>
        <w:pStyle w:val="MessageHeaderLast"/>
        <w:keepLines w:val="false"/>
        <w:tabs>
          <w:tab w:val="clear" w:pos="1560"/>
        </w:tabs>
        <w:spacing w:lineRule="auto" w:line="360"/>
        <w:ind w:hanging="0" w:start="0" w:end="0"/>
        <w:rPr>
          <w:color w:val="000000"/>
        </w:rPr>
      </w:pPr>
      <w:r>
        <w:rPr>
          <w:rStyle w:val="MessageHeaderLabel"/>
          <w:b w:val="false"/>
          <w:color w:val="000000"/>
        </w:rPr>
        <w:t>Re:</w:t>
        <w:tab/>
        <w:tab/>
        <w:t>Duty of good faith and commercial reasonableness</w:t>
      </w:r>
    </w:p>
    <w:p>
      <w:pPr>
        <w:pStyle w:val="Normal"/>
        <w:spacing w:lineRule="auto" w:line="360"/>
        <w:rPr>
          <w:b/>
          <w:color w:val="000000"/>
          <w:u w:val="single"/>
        </w:rPr>
      </w:pPr>
      <w:r>
        <w:rPr>
          <w:b/>
          <w:color w:val="000000"/>
          <w:u w:val="single"/>
        </w:rPr>
        <w:t>ISSUE PRESENTED:</w:t>
      </w:r>
    </w:p>
    <w:p>
      <w:pPr>
        <w:pStyle w:val="Normal"/>
        <w:spacing w:lineRule="auto" w:line="360"/>
        <w:rPr>
          <w:b/>
          <w:color w:val="000000"/>
          <w:u w:val="single"/>
        </w:rPr>
      </w:pPr>
      <w:r>
        <w:rPr>
          <w:b/>
          <w:color w:val="000000"/>
          <w:u w:val="single"/>
        </w:rPr>
      </w:r>
    </w:p>
    <w:p>
      <w:pPr>
        <w:pStyle w:val="BodyTextIndent3"/>
        <w:ind w:hanging="720" w:start="1440" w:end="0"/>
        <w:rPr>
          <w:color w:val="000000"/>
        </w:rPr>
      </w:pPr>
      <w:r>
        <w:rPr>
          <w:color w:val="000000"/>
        </w:rPr>
        <w:t>I.</w:t>
        <w:tab/>
        <w:t>What are the parameters of the duty to act in good faith and the duty to act with commercial reasonableness under Colorado and Utah law?  If that duty is breached, what are the available remedies?</w:t>
      </w:r>
    </w:p>
    <w:p>
      <w:pPr>
        <w:pStyle w:val="BodyTextIndent3"/>
        <w:rPr>
          <w:color w:val="000000"/>
        </w:rPr>
      </w:pPr>
      <w:r>
        <w:rPr>
          <w:color w:val="000000"/>
        </w:rPr>
      </w:r>
    </w:p>
    <w:p>
      <w:pPr>
        <w:pStyle w:val="BodyTextIndent3"/>
        <w:numPr>
          <w:ilvl w:val="0"/>
          <w:numId w:val="2"/>
        </w:numPr>
        <w:tabs>
          <w:tab w:val="clear" w:pos="720"/>
          <w:tab w:val="left" w:pos="1440" w:leader="none"/>
        </w:tabs>
        <w:ind w:hanging="720" w:start="1440" w:end="0"/>
        <w:rPr>
          <w:color w:val="000000"/>
        </w:rPr>
      </w:pPr>
      <w:r>
        <w:rPr>
          <w:color w:val="000000"/>
        </w:rPr>
        <w:t xml:space="preserve">Does Wildhorse have a duty to negotiate with Enron to allow Enron to construct a gas treatment facility in Enron’s desired location? </w:t>
      </w:r>
    </w:p>
    <w:p>
      <w:pPr>
        <w:pStyle w:val="Normal"/>
        <w:spacing w:lineRule="auto" w:line="360" w:before="240" w:after="0"/>
        <w:rPr>
          <w:b/>
          <w:color w:val="000000"/>
          <w:u w:val="single"/>
        </w:rPr>
      </w:pPr>
      <w:r>
        <w:rPr>
          <w:b/>
          <w:color w:val="000000"/>
          <w:u w:val="single"/>
        </w:rPr>
        <w:t>BRIEF ANSWER:</w:t>
      </w:r>
    </w:p>
    <w:p>
      <w:pPr>
        <w:pStyle w:val="BodyTextIndent"/>
        <w:rPr>
          <w:color w:val="000000"/>
        </w:rPr>
      </w:pPr>
      <w:r>
        <w:rPr>
          <w:color w:val="000000"/>
        </w:rPr>
        <w:t>I.</w:t>
        <w:tab/>
        <w:t>In Colorado and Utah, a covenant of good faith and fair dealing exists for most, if not all, contractual relationships.  Under the covenant of good faith and fair dealing, each party impliedly promises that he will not intentionally or purposely do anything that will destroy or injure the other party's right to receive the fruits of the contract.  A violation of the covenant gives rise to a claim for breach of contract.</w:t>
      </w:r>
    </w:p>
    <w:p>
      <w:pPr>
        <w:pStyle w:val="BodyTextIndent3"/>
        <w:rPr>
          <w:color w:val="000000"/>
        </w:rPr>
      </w:pPr>
      <w:r>
        <w:rPr>
          <w:color w:val="000000"/>
        </w:rPr>
      </w:r>
    </w:p>
    <w:p>
      <w:pPr>
        <w:pStyle w:val="BodyTextIndent3"/>
        <w:ind w:hanging="720" w:start="1440" w:end="0"/>
        <w:rPr>
          <w:color w:val="000000"/>
          <w:u w:val="single"/>
        </w:rPr>
      </w:pPr>
      <w:r>
        <w:rPr>
          <w:color w:val="000000"/>
        </w:rPr>
        <w:t>II.</w:t>
        <w:tab/>
        <w:t>Courts have found that, absent an express provision in the contract, a party does not have a duty to negotiate a modification of the contract.</w:t>
      </w:r>
    </w:p>
    <w:p>
      <w:pPr>
        <w:pStyle w:val="BodyTextIndent3"/>
        <w:ind w:start="0" w:end="0"/>
        <w:rPr>
          <w:color w:val="000000"/>
          <w:u w:val="single"/>
        </w:rPr>
      </w:pPr>
      <w:r>
        <w:rPr>
          <w:color w:val="000000"/>
          <w:u w:val="single"/>
        </w:rPr>
      </w:r>
    </w:p>
    <w:p>
      <w:pPr>
        <w:pStyle w:val="BodyTextIndent3"/>
        <w:ind w:start="0" w:end="0"/>
        <w:rPr>
          <w:b/>
          <w:color w:val="000000"/>
          <w:u w:val="single"/>
        </w:rPr>
      </w:pPr>
      <w:r>
        <w:rPr>
          <w:b/>
          <w:color w:val="000000"/>
          <w:u w:val="single"/>
        </w:rPr>
        <w:t>DISCUSSION:</w:t>
      </w:r>
    </w:p>
    <w:p>
      <w:pPr>
        <w:pStyle w:val="Normal"/>
        <w:rPr>
          <w:b/>
          <w:color w:val="000000"/>
          <w:u w:val="single"/>
        </w:rPr>
      </w:pPr>
      <w:r>
        <w:rPr>
          <w:b/>
          <w:color w:val="000000"/>
          <w:u w:val="single"/>
        </w:rPr>
      </w:r>
    </w:p>
    <w:p>
      <w:pPr>
        <w:pStyle w:val="Normal"/>
        <w:ind w:hanging="720" w:start="720" w:end="0"/>
        <w:rPr>
          <w:color w:val="000000"/>
        </w:rPr>
      </w:pPr>
      <w:r>
        <w:rPr>
          <w:color w:val="000000"/>
        </w:rPr>
        <w:t>I.</w:t>
        <w:tab/>
        <w:t>What are the parameters of the duty to act in good faith and the duty to act with commercial reasonableness under Colorado and Utah law?  If that duty is breached, what are the available remedies?</w:t>
      </w:r>
    </w:p>
    <w:p>
      <w:pPr>
        <w:pStyle w:val="Normal"/>
        <w:rPr>
          <w:color w:val="000000"/>
        </w:rPr>
      </w:pPr>
      <w:r>
        <w:rPr>
          <w:color w:val="000000"/>
        </w:rPr>
        <w:tab/>
      </w:r>
    </w:p>
    <w:p>
      <w:pPr>
        <w:pStyle w:val="Normal"/>
        <w:ind w:firstLine="720" w:end="0"/>
        <w:rPr/>
      </w:pPr>
      <w:r>
        <w:rPr>
          <w:color w:val="000000"/>
        </w:rPr>
        <w:t>Both the Uniform Commercial Code and the Restatement (Second) of Contracts recognize the duty to perform contracts in good faith.  While the UCC is not applicable in Enron’s situation because a sale of goods is not involved, its definition of good faith is illustrative.</w:t>
      </w:r>
      <w:r>
        <w:rPr>
          <w:rStyle w:val="FootnoteCharacters"/>
          <w:rStyle w:val="FootnoteReference"/>
          <w:color w:val="000000"/>
        </w:rPr>
        <w:footnoteReference w:id="2"/>
      </w:r>
      <w:r>
        <w:rPr>
          <w:color w:val="000000"/>
        </w:rPr>
        <w:t xml:space="preserve">  The U.C.C. defines good faith as "honesty in fact in the conduct or transaction concerned."</w:t>
      </w:r>
      <w:r>
        <w:rPr>
          <w:rStyle w:val="FootnoteCharacters"/>
          <w:rStyle w:val="FootnoteReference"/>
          <w:color w:val="000000"/>
        </w:rPr>
        <w:footnoteReference w:id="3"/>
      </w:r>
      <w:r>
        <w:rPr>
          <w:color w:val="000000"/>
        </w:rPr>
        <w:t xml:space="preserve">  The U.C.C. definition provides a subjective standard for good faith, focusing on the motives and state of mind of the participants.</w:t>
      </w:r>
      <w:r>
        <w:rPr>
          <w:rStyle w:val="FootnoteCharacters"/>
          <w:rStyle w:val="FootnoteReference"/>
          <w:color w:val="000000"/>
        </w:rPr>
        <w:footnoteReference w:id="4"/>
      </w:r>
    </w:p>
    <w:p>
      <w:pPr>
        <w:pStyle w:val="Normal"/>
        <w:ind w:firstLine="720" w:end="0"/>
        <w:rPr>
          <w:color w:val="000000"/>
        </w:rPr>
      </w:pPr>
      <w:r>
        <w:rPr>
          <w:color w:val="000000"/>
        </w:rPr>
      </w:r>
    </w:p>
    <w:p>
      <w:pPr>
        <w:pStyle w:val="Normal"/>
        <w:ind w:firstLine="720" w:end="0"/>
        <w:rPr/>
      </w:pPr>
      <w:r>
        <w:rPr>
          <w:color w:val="000000"/>
        </w:rPr>
        <w:t>The Restatement (Second) of Contracts, which both Utah and Colorado have adopted, imposes a duty of good faith and fair dealing in the performance and enforcement of a contract, which is a more objective test than the U.C.C.'s subjective test.</w:t>
      </w:r>
      <w:r>
        <w:rPr>
          <w:rStyle w:val="FootnoteCharacters"/>
          <w:rStyle w:val="FootnoteReference"/>
        </w:rPr>
        <w:footnoteReference w:id="5"/>
      </w:r>
      <w:r>
        <w:rPr/>
        <w:t xml:space="preserve">    The comment to Section 205 of the Restatement lists examples of violations of good faith: “the obligation [of good faith] is violated by dishonest conduct such as conjuring up a pretended dispute, asserting an interpretation contrary to one's own understanding, or falsification of facts. It also extends to dealing which is candid but unfair, such as taking advantage of the necessitous circumstances of the other party to extort a modification of a contract for the sale of goods without legitimate commercial reason.... Other types of violation have been recognized in judicial decisions: harassing demands for assurances of performance, rejection of performance for unstated reasons, willful failure to mitigate damages, and abuse of a power to determine compliance or to terminate the contract.”</w:t>
      </w:r>
      <w:r>
        <w:rPr>
          <w:rStyle w:val="FootnoteCharacters"/>
          <w:rStyle w:val="FootnoteReference"/>
        </w:rPr>
        <w:footnoteReference w:id="6"/>
      </w:r>
      <w:r>
        <w:rPr/>
        <w:t xml:space="preserve">  Rather than attempt to define the term "good faith," the Restatement left to the judiciary the task of identifying conduct that breached the reasonable expectations of a contracting party.</w:t>
      </w:r>
      <w:r>
        <w:rPr>
          <w:rStyle w:val="FootnoteCharacters"/>
          <w:rStyle w:val="FootnoteReference"/>
        </w:rPr>
        <w:footnoteReference w:id="7"/>
      </w:r>
    </w:p>
    <w:p>
      <w:pPr>
        <w:pStyle w:val="Heading1"/>
        <w:ind w:hanging="0" w:start="0"/>
        <w:rPr>
          <w:b/>
          <w:color w:val="000000"/>
        </w:rPr>
      </w:pPr>
      <w:r>
        <w:rPr>
          <w:b/>
          <w:color w:val="000000"/>
        </w:rPr>
      </w:r>
    </w:p>
    <w:p>
      <w:pPr>
        <w:pStyle w:val="Heading1"/>
        <w:ind w:hanging="0" w:start="0"/>
        <w:rPr>
          <w:b/>
          <w:color w:val="000000"/>
        </w:rPr>
      </w:pPr>
      <w:r>
        <w:rPr>
          <w:b/>
          <w:color w:val="000000"/>
        </w:rPr>
        <w:t>Utah</w:t>
      </w:r>
    </w:p>
    <w:p>
      <w:pPr>
        <w:pStyle w:val="Normal"/>
        <w:jc w:val="center"/>
        <w:rPr>
          <w:b/>
          <w:color w:val="000000"/>
        </w:rPr>
      </w:pPr>
      <w:r>
        <w:rPr>
          <w:b/>
          <w:color w:val="000000"/>
        </w:rPr>
      </w:r>
    </w:p>
    <w:p>
      <w:pPr>
        <w:pStyle w:val="Normal"/>
        <w:ind w:firstLine="600" w:start="120" w:end="90"/>
        <w:rPr>
          <w:color w:val="000000"/>
        </w:rPr>
      </w:pPr>
      <w:r>
        <w:rPr>
          <w:color w:val="000000"/>
        </w:rPr>
        <w:t xml:space="preserve">Both Colorado and Utah courts have </w:t>
      </w:r>
      <w:r>
        <w:rPr/>
        <w:t xml:space="preserve">identified conduct that breaches the duty of good faith.  Both states </w:t>
      </w:r>
      <w:r>
        <w:rPr>
          <w:color w:val="000000"/>
        </w:rPr>
        <w:t>recognize that good faith is implied in almost every contract.  In Utah, a covenant of good faith and fair dealing inheres in most, if not all, contractual relationships.</w:t>
      </w:r>
      <w:r>
        <w:rPr>
          <w:rStyle w:val="FootnoteCharacters"/>
          <w:rStyle w:val="FootnoteReference"/>
          <w:color w:val="000000"/>
        </w:rPr>
        <w:footnoteReference w:id="8"/>
      </w:r>
      <w:r>
        <w:rPr>
          <w:color w:val="000000"/>
        </w:rPr>
        <w:t xml:space="preserve">  For commercial contracts, a covenant of good faith is statutorily imposed. Utah Code Ann. § 70A-1-203.  Under the covenant of good faith and fair dealing, each party impliedly promises that he will not intentionally or purposely do anything which will destroy or injure the other party's right to receive the fruits of the contract. </w:t>
      </w:r>
      <w:r>
        <w:rPr>
          <w:i/>
        </w:rPr>
        <w:t>St. Benedict's Dev. Co. v. St. Benedict's Hosp.,</w:t>
      </w:r>
      <w:r>
        <w:rPr/>
        <w:t xml:space="preserve"> 811 P.2d 194, 200 (Utah 1991.)  </w:t>
      </w:r>
      <w:r>
        <w:rPr>
          <w:color w:val="000000"/>
        </w:rPr>
        <w:t xml:space="preserve">The covenant forbids arbitrary action by one party that disadvantages the other. </w:t>
      </w:r>
      <w:r>
        <w:rPr>
          <w:i/>
          <w:color w:val="000000"/>
        </w:rPr>
        <w:t>Resource Management Co. v. Weston Ranch &amp; Livestock Co.</w:t>
      </w:r>
      <w:r>
        <w:rPr>
          <w:color w:val="000000"/>
        </w:rPr>
        <w:t xml:space="preserve">, 706 P.2d 1028, 1037 (Utah 1985). </w:t>
      </w:r>
      <w:r>
        <w:rPr>
          <w:i/>
          <w:color w:val="000000"/>
        </w:rPr>
        <w:t xml:space="preserve"> </w:t>
      </w:r>
      <w:r>
        <w:rPr>
          <w:color w:val="000000"/>
        </w:rPr>
        <w:t xml:space="preserve">Under the covenant of good faith and fair dealing, one party may not render it difficult or impossible for the other to continue performance and then take advantage of nonperformance he has created. </w:t>
      </w:r>
      <w:r>
        <w:rPr>
          <w:i/>
          <w:color w:val="000000"/>
        </w:rPr>
        <w:t>PDQ Lube Center, Inc. v. Huber</w:t>
      </w:r>
      <w:r>
        <w:rPr>
          <w:color w:val="000000"/>
        </w:rPr>
        <w:t xml:space="preserve">, 949 P.2d 792, 798 (Utah Ct. Apps. 1997). </w:t>
      </w:r>
      <w:r>
        <w:rPr>
          <w:color w:val="000000"/>
          <w:lang w:eastAsia="en-US"/>
        </w:rPr>
        <w:t xml:space="preserve">However, there is no violation of the duty of good faith, as a matter of law, when a party is simply exercising its contractual rights." </w:t>
      </w:r>
      <w:r>
        <w:rPr>
          <w:i/>
          <w:color w:val="000000"/>
          <w:lang w:eastAsia="en-US"/>
        </w:rPr>
        <w:t>Id.</w:t>
      </w:r>
      <w:r>
        <w:rPr>
          <w:color w:val="000000"/>
          <w:lang w:eastAsia="en-US"/>
        </w:rPr>
        <w:t xml:space="preserve"> (Citations omitted).</w:t>
      </w:r>
      <w:r>
        <w:rPr>
          <w:rStyle w:val="FootnoteCharacters"/>
          <w:rStyle w:val="FootnoteReference"/>
          <w:color w:val="000000"/>
          <w:lang w:eastAsia="en-US"/>
        </w:rPr>
        <w:footnoteReference w:id="9"/>
      </w:r>
    </w:p>
    <w:p>
      <w:pPr>
        <w:pStyle w:val="Normal"/>
        <w:ind w:firstLine="720" w:end="0"/>
        <w:jc w:val="both"/>
        <w:rPr>
          <w:i/>
          <w:i/>
          <w:color w:val="000000"/>
        </w:rPr>
      </w:pPr>
      <w:r>
        <w:rPr>
          <w:i/>
          <w:color w:val="000000"/>
        </w:rPr>
      </w:r>
    </w:p>
    <w:p>
      <w:pPr>
        <w:pStyle w:val="Normal"/>
        <w:ind w:firstLine="720" w:end="0"/>
        <w:rPr/>
      </w:pPr>
      <w:r>
        <w:rPr>
          <w:color w:val="000000"/>
        </w:rPr>
        <w:t xml:space="preserve">Although contracts are subject to implied covenants of good faith, such contracts cannot be construed to establish new, independent rights, or duties not agreed upon by the parties. </w:t>
      </w:r>
      <w:r>
        <w:rPr>
          <w:i/>
          <w:color w:val="000000"/>
        </w:rPr>
        <w:t>Resource Management Co., supra,</w:t>
      </w:r>
      <w:r>
        <w:rPr>
          <w:color w:val="000000"/>
        </w:rPr>
        <w:t xml:space="preserve"> at 1037.  A violation of the covenant gives rise to a claim for breach of contract. </w:t>
      </w:r>
      <w:r>
        <w:rPr>
          <w:i/>
        </w:rPr>
        <w:t>St. Benedict's, supra.</w:t>
      </w:r>
      <w:r>
        <w:rPr>
          <w:color w:val="000000"/>
        </w:rPr>
        <w:t xml:space="preserve"> </w:t>
      </w:r>
    </w:p>
    <w:p>
      <w:pPr>
        <w:pStyle w:val="Normal"/>
        <w:jc w:val="both"/>
        <w:rPr>
          <w:color w:val="000000"/>
        </w:rPr>
      </w:pPr>
      <w:r>
        <w:rPr>
          <w:color w:val="000000"/>
        </w:rPr>
      </w:r>
    </w:p>
    <w:p>
      <w:pPr>
        <w:pStyle w:val="Normal"/>
        <w:ind w:firstLine="720" w:end="0"/>
        <w:jc w:val="both"/>
        <w:rPr/>
      </w:pPr>
      <w:r>
        <w:rPr>
          <w:color w:val="000000"/>
        </w:rPr>
        <w:t xml:space="preserve">An examination of express contract terms alone is insufficient to determine whether there has been a breach of the implied covenant of good faith and fair dealing.  </w:t>
      </w:r>
      <w:r>
        <w:rPr>
          <w:i/>
          <w:color w:val="000000"/>
        </w:rPr>
        <w:t>Id.</w:t>
      </w:r>
      <w:r>
        <w:rPr>
          <w:color w:val="000000"/>
        </w:rPr>
        <w:t xml:space="preserve"> (citation omitted).  To comply with his obligation to perform a contract in good faith, a party's actions must be consistent with the agreed common purpose and the justified expectations of the other party. </w:t>
      </w:r>
      <w:r>
        <w:rPr>
          <w:i/>
          <w:color w:val="000000"/>
        </w:rPr>
        <w:t>Id.</w:t>
      </w:r>
      <w:r>
        <w:rPr>
          <w:color w:val="000000"/>
        </w:rPr>
        <w:t xml:space="preserve"> citing Restatement (Second) of Contracts § 205 comment a (1981).  The purpose, intentions, and expectations of the parties should be determined by considering the contract language and the course of dealings between and conduct of the parties. </w:t>
      </w:r>
      <w:r>
        <w:rPr>
          <w:i/>
          <w:color w:val="000000"/>
        </w:rPr>
        <w:t>Id.</w:t>
      </w:r>
      <w:r>
        <w:rPr>
          <w:color w:val="000000"/>
        </w:rPr>
        <w:t xml:space="preserve">  </w:t>
      </w:r>
    </w:p>
    <w:p>
      <w:pPr>
        <w:pStyle w:val="Normal"/>
        <w:jc w:val="both"/>
        <w:rPr>
          <w:color w:val="000000"/>
        </w:rPr>
      </w:pPr>
      <w:r>
        <w:rPr>
          <w:color w:val="000000"/>
        </w:rPr>
      </w:r>
    </w:p>
    <w:p>
      <w:pPr>
        <w:pStyle w:val="Normal"/>
        <w:ind w:firstLine="720" w:end="0"/>
        <w:rPr/>
      </w:pPr>
      <w:r>
        <w:rPr>
          <w:color w:val="000000"/>
        </w:rPr>
        <w:t xml:space="preserve">In </w:t>
      </w:r>
      <w:r>
        <w:rPr>
          <w:i/>
        </w:rPr>
        <w:t>St. Benedict's</w:t>
      </w:r>
      <w:r>
        <w:rPr>
          <w:color w:val="000000"/>
        </w:rPr>
        <w:t xml:space="preserve">, the court found that the hospital's express promises, the language in the agreements and the parties' conduct indicated an intent on the part of the hospital/lessor to cooperate in acquiring and retaining tenants for both of the buildings leased by the plaintiff development company.  The facts indicated that the hospital did not proceed in a manner consistent with the justified expectations of the development company or the intentions of the parties.  The court found that the hospital's encouragement of a competing office building suggested that there may have been a breach of the implied covenant of good faith and fair dealing.  </w:t>
      </w:r>
      <w:r>
        <w:rPr>
          <w:i/>
          <w:color w:val="000000"/>
        </w:rPr>
        <w:t xml:space="preserve">Id. </w:t>
      </w:r>
      <w:r>
        <w:rPr>
          <w:color w:val="000000"/>
        </w:rPr>
        <w:t xml:space="preserve"> </w:t>
      </w:r>
      <w:r>
        <w:rPr>
          <w:i/>
          <w:color w:val="000000"/>
        </w:rPr>
        <w:t>citing</w:t>
      </w:r>
      <w:r>
        <w:rPr>
          <w:color w:val="000000"/>
        </w:rPr>
        <w:t xml:space="preserve"> See </w:t>
      </w:r>
      <w:r>
        <w:rPr>
          <w:i/>
          <w:color w:val="000000"/>
        </w:rPr>
        <w:t>Ruff v. Yuma County Transp. Co., 690 P.2d 1296, 1298 (Colo. Ct. App. 1984)</w:t>
      </w:r>
      <w:r>
        <w:rPr>
          <w:color w:val="000000"/>
        </w:rPr>
        <w:t xml:space="preserve"> (buyer's actions breached implied covenant of good faith because they were inconsistent with express contract provision requiring parties to cooperate and use best efforts to achieve condition precedent to the transfer which was subject of agreement).  The </w:t>
      </w:r>
      <w:r>
        <w:rPr>
          <w:i/>
          <w:color w:val="000000"/>
        </w:rPr>
        <w:t xml:space="preserve">St. </w:t>
      </w:r>
      <w:r>
        <w:rPr>
          <w:i/>
        </w:rPr>
        <w:t>Benedict's</w:t>
      </w:r>
      <w:r>
        <w:rPr>
          <w:i/>
          <w:color w:val="000000"/>
        </w:rPr>
        <w:t xml:space="preserve"> </w:t>
      </w:r>
      <w:r>
        <w:rPr>
          <w:color w:val="000000"/>
        </w:rPr>
        <w:t xml:space="preserve"> court found that the complaint alleged facts sufficient for a breach of the implied covenant of good faith and fair dealing and vacated the motion to dismiss.</w:t>
      </w:r>
    </w:p>
    <w:p>
      <w:pPr>
        <w:pStyle w:val="Normal"/>
        <w:ind w:firstLine="720" w:end="0"/>
        <w:jc w:val="both"/>
        <w:rPr>
          <w:color w:val="000000"/>
        </w:rPr>
      </w:pPr>
      <w:r>
        <w:rPr>
          <w:color w:val="000000"/>
        </w:rPr>
      </w:r>
    </w:p>
    <w:p>
      <w:pPr>
        <w:pStyle w:val="Normal"/>
        <w:rPr/>
      </w:pPr>
      <w:r>
        <w:rPr>
          <w:color w:val="000000"/>
        </w:rPr>
        <w:tab/>
        <w:t xml:space="preserve">The U.C.C. comments provide that </w:t>
      </w:r>
      <w:r>
        <w:rPr/>
        <w:t>an independent cause of action for failure to perform or enforce in good faith does not exist under the Code, but the doctrine of good faith merely directs a court towards interpreting contracts within the commercial context in which they are created, performed, and enforced.</w:t>
      </w:r>
      <w:r>
        <w:rPr>
          <w:rStyle w:val="FootnoteCharacters"/>
          <w:rStyle w:val="FootnoteReference"/>
        </w:rPr>
        <w:footnoteReference w:id="10"/>
      </w:r>
      <w:r>
        <w:rPr/>
        <w:t xml:space="preserve">  </w:t>
      </w:r>
      <w:r>
        <w:rPr>
          <w:color w:val="000000"/>
        </w:rPr>
        <w:t xml:space="preserve">Damages available for a cause of action in contract for breach of the implied covenant of good faith and fair dealing in Utah include all types of reasonably foreseeable consequences flowing naturally from the breach.  If warranted, injunctive relieve may be available.  </w:t>
      </w:r>
      <w:r>
        <w:rPr>
          <w:i/>
          <w:color w:val="000000"/>
        </w:rPr>
        <w:t>St.</w:t>
      </w:r>
      <w:r>
        <w:rPr>
          <w:color w:val="000000"/>
        </w:rPr>
        <w:t xml:space="preserve"> </w:t>
      </w:r>
      <w:r>
        <w:rPr>
          <w:i/>
        </w:rPr>
        <w:t>Benedict's</w:t>
      </w:r>
      <w:r>
        <w:rPr>
          <w:i/>
          <w:color w:val="000000"/>
        </w:rPr>
        <w:t>.</w:t>
      </w:r>
      <w:r>
        <w:rPr>
          <w:color w:val="000000"/>
        </w:rPr>
        <w:t xml:space="preserve"> at 202; </w:t>
      </w:r>
      <w:r>
        <w:rPr>
          <w:i/>
          <w:color w:val="000000"/>
        </w:rPr>
        <w:t>PDQ</w:t>
      </w:r>
      <w:r>
        <w:rPr>
          <w:color w:val="000000"/>
        </w:rPr>
        <w:t xml:space="preserve">, </w:t>
      </w:r>
      <w:r>
        <w:rPr>
          <w:i/>
          <w:color w:val="000000"/>
        </w:rPr>
        <w:t>supra</w:t>
      </w:r>
      <w:r>
        <w:rPr>
          <w:color w:val="000000"/>
        </w:rPr>
        <w:t xml:space="preserve"> (award of specific performance appropriate.)  </w:t>
      </w:r>
    </w:p>
    <w:p>
      <w:pPr>
        <w:pStyle w:val="Heading1"/>
        <w:ind w:hanging="0" w:start="0"/>
        <w:rPr>
          <w:b/>
          <w:color w:val="000000"/>
        </w:rPr>
      </w:pPr>
      <w:r>
        <w:rPr>
          <w:b/>
          <w:color w:val="000000"/>
        </w:rPr>
      </w:r>
    </w:p>
    <w:p>
      <w:pPr>
        <w:pStyle w:val="Heading1"/>
        <w:ind w:hanging="0" w:start="0"/>
        <w:rPr>
          <w:b/>
          <w:color w:val="000000"/>
        </w:rPr>
      </w:pPr>
      <w:r>
        <w:rPr>
          <w:b/>
          <w:color w:val="000000"/>
        </w:rPr>
        <w:t>Colorado</w:t>
      </w:r>
    </w:p>
    <w:p>
      <w:pPr>
        <w:pStyle w:val="Normal"/>
        <w:rPr>
          <w:b/>
          <w:color w:val="000000"/>
        </w:rPr>
      </w:pPr>
      <w:r>
        <w:rPr>
          <w:b/>
          <w:color w:val="000000"/>
        </w:rPr>
      </w:r>
    </w:p>
    <w:p>
      <w:pPr>
        <w:pStyle w:val="Normal"/>
        <w:ind w:firstLine="600" w:start="120" w:end="0"/>
        <w:rPr/>
      </w:pPr>
      <w:r>
        <w:rPr>
          <w:color w:val="000000"/>
        </w:rPr>
        <w:t>Like Utah, Colorado also recognizes that almost every contract contains an implied duty of good faith and fair dealing. 2 C.R.S. § 4-1-203 (1999).</w:t>
      </w:r>
      <w:r>
        <w:rPr>
          <w:rStyle w:val="FootnoteCharacters"/>
          <w:rStyle w:val="FootnoteReference"/>
          <w:color w:val="000000"/>
        </w:rPr>
        <w:footnoteReference w:id="11"/>
      </w:r>
      <w:r>
        <w:rPr>
          <w:color w:val="000000"/>
        </w:rPr>
        <w:t xml:space="preserve">  The good faith performance doctrine is generally used to effectuate the intentions of the parties or to honor their reasonable expectations. </w:t>
      </w:r>
      <w:r>
        <w:rPr>
          <w:i/>
          <w:color w:val="000000"/>
          <w:lang w:eastAsia="en-US"/>
        </w:rPr>
        <w:t>Bayou Land Co. v. Talley</w:t>
      </w:r>
      <w:r>
        <w:rPr>
          <w:color w:val="000000"/>
          <w:lang w:eastAsia="en-US"/>
        </w:rPr>
        <w:t xml:space="preserve">, 924 P.2d 136, 154 (Colo. 1996). </w:t>
      </w:r>
      <w:r>
        <w:rPr>
          <w:color w:val="000000"/>
        </w:rPr>
        <w:t xml:space="preserve">Each party to a contract has a justified expectation that the other will act in a reasonable manner in its performance; when one party uses discretion conferred by contract to act dishonestly to act outside accepted commercial practices to deprive other party of benefit of contract, the contract is breached.  </w:t>
      </w:r>
      <w:r>
        <w:rPr>
          <w:i/>
          <w:color w:val="000000"/>
        </w:rPr>
        <w:t xml:space="preserve">Wells Fargo Realty Advisors Funding, Inc. v. Uioli, Inc., </w:t>
      </w:r>
      <w:r>
        <w:rPr>
          <w:color w:val="000000"/>
        </w:rPr>
        <w:t>872 P.2d 1359, 1363</w:t>
      </w:r>
      <w:r>
        <w:rPr>
          <w:i/>
          <w:color w:val="000000"/>
        </w:rPr>
        <w:t xml:space="preserve"> </w:t>
      </w:r>
      <w:r>
        <w:rPr>
          <w:color w:val="000000"/>
        </w:rPr>
        <w:t xml:space="preserve">(Colo. Ct. App. 1994) (citation omitted).  When applied in the enforcement of contract context, the covenant of good faith and fair dealing bars dishonest conduct such as raising imaginary disputes, asserting an interpretation contrary to one’s own understanding or falsification of facts.  </w:t>
      </w:r>
      <w:r>
        <w:rPr>
          <w:i/>
          <w:color w:val="000000"/>
        </w:rPr>
        <w:t>Bayou Land Co., supra,</w:t>
      </w:r>
      <w:r>
        <w:rPr>
          <w:color w:val="000000"/>
        </w:rPr>
        <w:t xml:space="preserve"> at 154.</w:t>
      </w:r>
    </w:p>
    <w:p>
      <w:pPr>
        <w:pStyle w:val="Normal"/>
        <w:ind w:firstLine="720" w:end="90"/>
        <w:rPr>
          <w:color w:val="000000"/>
          <w:lang w:eastAsia="en-US"/>
        </w:rPr>
      </w:pPr>
      <w:r>
        <w:rPr>
          <w:color w:val="000000"/>
          <w:lang w:eastAsia="en-US"/>
        </w:rPr>
      </w:r>
    </w:p>
    <w:p>
      <w:pPr>
        <w:pStyle w:val="Normal"/>
        <w:ind w:firstLine="720" w:end="0"/>
        <w:jc w:val="both"/>
        <w:rPr/>
      </w:pPr>
      <w:r>
        <w:rPr>
          <w:color w:val="000000"/>
          <w:lang w:eastAsia="en-US"/>
        </w:rPr>
        <w:t xml:space="preserve">The essence of the implied covenant of good faith and fair dealing is the protection of the reasonable expectations of the parties.  </w:t>
      </w:r>
      <w:r>
        <w:rPr>
          <w:i/>
          <w:color w:val="000000"/>
          <w:lang w:eastAsia="en-US"/>
        </w:rPr>
        <w:t>Big Horn Coal Co. v. Commonwealth Edison Co.</w:t>
      </w:r>
      <w:r>
        <w:rPr>
          <w:color w:val="000000"/>
          <w:lang w:eastAsia="en-US"/>
        </w:rPr>
        <w:t xml:space="preserve">, 852 F.2d 1259, 1267 (10th Cir. 1988) (citing E. Allan Farnsworth, </w:t>
      </w:r>
      <w:r>
        <w:rPr>
          <w:color w:val="000000"/>
          <w:u w:val="single"/>
          <w:lang w:eastAsia="en-US"/>
        </w:rPr>
        <w:t>Good Faith Performance and Commercial Reasonableness under the Uniform Commercial Code</w:t>
      </w:r>
      <w:r>
        <w:rPr>
          <w:color w:val="000000"/>
          <w:lang w:eastAsia="en-US"/>
        </w:rPr>
        <w:t xml:space="preserve">, 30 U. Chi. L. Rev. 666, 670 (1963)). In </w:t>
      </w:r>
      <w:r>
        <w:rPr>
          <w:i/>
          <w:color w:val="000000"/>
          <w:lang w:eastAsia="en-US"/>
        </w:rPr>
        <w:t>Big Horn</w:t>
      </w:r>
      <w:r>
        <w:rPr>
          <w:color w:val="000000"/>
          <w:lang w:eastAsia="en-US"/>
        </w:rPr>
        <w:t xml:space="preserve">, the defendant </w:t>
      </w:r>
      <w:r>
        <w:rPr/>
        <w:t xml:space="preserve">Edison had discretion to exercise the coal reduction provision in a long term coal supply contract if the technical requirements of the express condition were met.  The court was convinced that this “discretion must be exercised in good faith if the Coal Companies have any reasonable expectation that would impliedly limit the circumstances in which Edison could invoke the section” and found that the mere fulfillment of the condition did not relieve Edison of the obligation to act in good faith.  </w:t>
      </w:r>
      <w:r>
        <w:rPr>
          <w:i/>
        </w:rPr>
        <w:t>Id.</w:t>
      </w:r>
      <w:r>
        <w:rPr/>
        <w:t xml:space="preserve"> at 1269.</w:t>
      </w:r>
    </w:p>
    <w:p>
      <w:pPr>
        <w:pStyle w:val="Normal"/>
        <w:ind w:firstLine="720" w:end="0"/>
        <w:jc w:val="both"/>
        <w:rPr>
          <w:color w:val="000000"/>
        </w:rPr>
      </w:pPr>
      <w:r>
        <w:rPr>
          <w:color w:val="000000"/>
        </w:rPr>
      </w:r>
    </w:p>
    <w:p>
      <w:pPr>
        <w:pStyle w:val="Normal"/>
        <w:ind w:firstLine="720" w:end="0"/>
        <w:jc w:val="both"/>
        <w:rPr/>
      </w:pPr>
      <w:r>
        <w:rPr>
          <w:color w:val="000000"/>
          <w:lang w:eastAsia="en-US"/>
        </w:rPr>
        <w:t xml:space="preserve">However, in Colorado, the duty of good faith applies only in certain situations.  </w:t>
      </w:r>
      <w:r>
        <w:rPr>
          <w:color w:val="000000"/>
        </w:rPr>
        <w:t xml:space="preserve">In Colorado, the duty of good faith and fair dealing applies when one party has discretionary authority to determine certain terms of the contract, such as quantity, price, or time.  </w:t>
      </w:r>
      <w:r>
        <w:rPr>
          <w:i/>
          <w:color w:val="000000"/>
        </w:rPr>
        <w:t>Amoco Oil Co. v. Ervin</w:t>
      </w:r>
      <w:r>
        <w:rPr>
          <w:color w:val="000000"/>
        </w:rPr>
        <w:t>, 908 P.2d 493, 498 (Colo. 1995) as modified on rehearing. (Citation omitted.)  The covenant may be relied upon only when the manner of performance under a specific contract term allows for discretion on the part of either party.</w:t>
      </w:r>
      <w:r>
        <w:rPr>
          <w:rStyle w:val="FootnoteCharacters"/>
          <w:rStyle w:val="FootnoteReference"/>
          <w:color w:val="000000"/>
        </w:rPr>
        <w:footnoteReference w:id="12"/>
      </w:r>
      <w:r>
        <w:rPr>
          <w:color w:val="000000"/>
        </w:rPr>
        <w:t xml:space="preserve">  The </w:t>
      </w:r>
      <w:r>
        <w:rPr>
          <w:i/>
          <w:color w:val="000000"/>
        </w:rPr>
        <w:t>Amoco</w:t>
      </w:r>
      <w:r>
        <w:rPr>
          <w:color w:val="000000"/>
        </w:rPr>
        <w:t xml:space="preserve"> court, like the U.C.C. comments, found that the doctrine of good faith did not </w:t>
      </w:r>
      <w:r>
        <w:rPr/>
        <w:t xml:space="preserve">create a separate duty of fairness and reasonableness which can be independently breached.  </w:t>
      </w:r>
      <w:r>
        <w:rPr>
          <w:i/>
        </w:rPr>
        <w:t>Ervin v. Amoco Oil Co.</w:t>
      </w:r>
      <w:r>
        <w:rPr/>
        <w:t xml:space="preserve">, 885 P.2d 246, </w:t>
      </w:r>
      <w:r>
        <w:rPr>
          <w:i/>
        </w:rPr>
        <w:t>aff’d in part, reversed in part</w:t>
      </w:r>
      <w:r>
        <w:rPr/>
        <w:t xml:space="preserve"> 908 P.2d 493 (Colo. 1995).</w:t>
      </w:r>
    </w:p>
    <w:p>
      <w:pPr>
        <w:pStyle w:val="Normal"/>
        <w:jc w:val="both"/>
        <w:rPr>
          <w:color w:val="000000"/>
        </w:rPr>
      </w:pPr>
      <w:r>
        <w:rPr>
          <w:color w:val="000000"/>
        </w:rPr>
      </w:r>
    </w:p>
    <w:p>
      <w:pPr>
        <w:pStyle w:val="Normal"/>
        <w:ind w:firstLine="720" w:end="0"/>
        <w:jc w:val="both"/>
        <w:rPr/>
      </w:pPr>
      <w:r>
        <w:rPr>
          <w:color w:val="000000"/>
        </w:rPr>
        <w:t xml:space="preserve">In the </w:t>
      </w:r>
      <w:r>
        <w:rPr>
          <w:i/>
          <w:color w:val="000000"/>
        </w:rPr>
        <w:t>Amoco</w:t>
      </w:r>
      <w:r>
        <w:rPr>
          <w:color w:val="000000"/>
        </w:rPr>
        <w:t xml:space="preserve"> case, Amoco retained discretion to modify the monthly rental amount it charged its lessees.  Although the parties established specific rental figures at contract formation, they also decided to allow Amoco to modify rental terms.  The court found that by allowing Amoco to adjust the rental terms, the parties left these future provisions open. The court found that the general rule implying the covenant in every contract, combined with the specific discretion regarding rental terms, created a duty of good faith and fair dealing for Amoco.  </w:t>
      </w:r>
    </w:p>
    <w:p>
      <w:pPr>
        <w:pStyle w:val="Normal"/>
        <w:jc w:val="both"/>
        <w:rPr>
          <w:color w:val="000000"/>
        </w:rPr>
      </w:pPr>
      <w:r>
        <w:rPr>
          <w:color w:val="000000"/>
        </w:rPr>
      </w:r>
    </w:p>
    <w:p>
      <w:pPr>
        <w:pStyle w:val="BodyTextIndent2"/>
        <w:ind w:hanging="720" w:start="720" w:end="0"/>
        <w:rPr>
          <w:color w:val="000000"/>
        </w:rPr>
      </w:pPr>
      <w:r>
        <w:rPr>
          <w:color w:val="000000"/>
        </w:rPr>
        <w:t>II.</w:t>
        <w:tab/>
        <w:t>Does Wildhorse have a duty to negotiate with Enron to allow Enron to construct a gas treatment facility in Enron’s desired location?</w:t>
      </w:r>
    </w:p>
    <w:p>
      <w:pPr>
        <w:pStyle w:val="BodyTextIndent2"/>
        <w:rPr>
          <w:color w:val="000000"/>
        </w:rPr>
      </w:pPr>
      <w:r>
        <w:rPr>
          <w:color w:val="000000"/>
        </w:rPr>
      </w:r>
    </w:p>
    <w:p>
      <w:pPr>
        <w:pStyle w:val="BodyTextIndent2"/>
        <w:ind w:hanging="0" w:end="0"/>
        <w:rPr>
          <w:color w:val="000000"/>
        </w:rPr>
      </w:pPr>
      <w:r>
        <w:rPr>
          <w:color w:val="000000"/>
        </w:rPr>
        <w:tab/>
        <w:t>One commentator stated: “Good faith has a substantial history in contract law as a duty required in the performance and enforcement of a contract.  However, good faith in performance and enforcement requires a contract, while a duty to negotiate in good faith, by definition, assumes the absence of a contract.”</w:t>
      </w:r>
      <w:r>
        <w:rPr>
          <w:rStyle w:val="FootnoteCharacters"/>
          <w:rStyle w:val="FootnoteReference"/>
          <w:color w:val="000000"/>
        </w:rPr>
        <w:footnoteReference w:id="13"/>
      </w:r>
      <w:r>
        <w:rPr>
          <w:color w:val="000000"/>
        </w:rPr>
        <w:t xml:space="preserve">  Both the UCC and the Restatement recognize the good faith duty in the performance and enforcement of contracts, but neither recognizes the duty to negotiate a contract.</w:t>
      </w:r>
      <w:r>
        <w:rPr>
          <w:rStyle w:val="FootnoteCharacters"/>
          <w:rStyle w:val="FootnoteReference"/>
          <w:color w:val="000000"/>
        </w:rPr>
        <w:footnoteReference w:id="14"/>
      </w:r>
    </w:p>
    <w:p>
      <w:pPr>
        <w:pStyle w:val="BodyTextIndent2"/>
        <w:ind w:hanging="0" w:end="0"/>
        <w:rPr>
          <w:color w:val="000000"/>
        </w:rPr>
      </w:pPr>
      <w:r>
        <w:rPr>
          <w:color w:val="000000"/>
        </w:rPr>
      </w:r>
    </w:p>
    <w:p>
      <w:pPr>
        <w:pStyle w:val="BodyTextIndent2"/>
        <w:ind w:hanging="0" w:end="0"/>
        <w:rPr>
          <w:color w:val="000000"/>
        </w:rPr>
      </w:pPr>
      <w:r>
        <w:rPr>
          <w:color w:val="000000"/>
        </w:rPr>
        <w:tab/>
        <w:t xml:space="preserve">A Colorado district court that dealt with the issue of whether a party to an agreement had a duty to negotiate an amendment dismissed the claim because the duty to amend the contract was not an express term in the contract.  In a un-published order, the Moffat County District Court stated:  </w:t>
      </w:r>
    </w:p>
    <w:p>
      <w:pPr>
        <w:pStyle w:val="BodyTextIndent2"/>
        <w:ind w:hanging="0" w:start="720" w:end="1440"/>
        <w:jc w:val="both"/>
        <w:rPr>
          <w:color w:val="000000"/>
        </w:rPr>
      </w:pPr>
      <w:r>
        <w:rPr>
          <w:color w:val="000000"/>
        </w:rPr>
      </w:r>
    </w:p>
    <w:p>
      <w:pPr>
        <w:pStyle w:val="BodyTextIndent2"/>
        <w:ind w:hanging="0" w:start="1440" w:end="720"/>
        <w:jc w:val="both"/>
        <w:rPr>
          <w:color w:val="000000"/>
        </w:rPr>
      </w:pPr>
      <w:r>
        <w:rPr>
          <w:color w:val="000000"/>
        </w:rPr>
        <w:t>The First Claim for Relief seeks damages for breach of the Coal Supply Agreements, but Plaintiffs have not alleged the breach of any express term.  Instead, Plaintiffs allege that through the parties’ prior course of dealings and performance under the Coal Supply Agreements, or standards or practices of the coal industry, “an understanding” the Coal Supply Agreements would be flexibly administered and a duty to negotiate and amend the Coal Supply Agreements as necessitated by changed circumstances became integral and material parts of the Coal Supply Agreements.  But a prior course of dealings or performance, or a standard or practice in a particular industry, can only be used to explain or supplement, and may not be relied on to contradict or change, the express terms of a written commercial contract.  The duty to negotiate and amend under changed circumstances, which Plaintiffs claim has become part of the Coal Supply Agreements based on a prior course of dealing or performance or coal industry practices, rather than supplement or clarify, contradicts or changes specific, detailed and unambiguous provisions of the Coal Supply Agreements.  Accordingly, the duty to negotiate and amend relied on by Plaintiffs is not a term of the Coal Supply Agreements, and Colowyo LP and Kennecott Colorado cannot be liable to Plaintiffs for breach of this non-existent contractual duty.</w:t>
      </w:r>
    </w:p>
    <w:p>
      <w:pPr>
        <w:pStyle w:val="BodyTextIndent2"/>
        <w:ind w:hanging="0" w:end="0"/>
        <w:jc w:val="both"/>
        <w:rPr/>
      </w:pPr>
      <w:r>
        <w:rPr>
          <w:color w:val="000000"/>
          <w:u w:val="single"/>
        </w:rPr>
        <w:t>Tri-State Generation and Transmission, Inc. v. Colowyo Coal Company et al.</w:t>
      </w:r>
      <w:r>
        <w:rPr>
          <w:color w:val="000000"/>
        </w:rPr>
        <w:t xml:space="preserve">, 97CV97, Order, dated November 25, 1998, p. 2.  </w:t>
      </w:r>
    </w:p>
    <w:p>
      <w:pPr>
        <w:pStyle w:val="BodyTextIndent2"/>
        <w:ind w:hanging="0" w:end="1440"/>
        <w:jc w:val="both"/>
        <w:rPr>
          <w:color w:val="000000"/>
        </w:rPr>
      </w:pPr>
      <w:r>
        <w:rPr>
          <w:color w:val="000000"/>
        </w:rPr>
      </w:r>
    </w:p>
    <w:p>
      <w:pPr>
        <w:pStyle w:val="Normal"/>
        <w:ind w:firstLine="720" w:end="0"/>
        <w:rPr/>
      </w:pPr>
      <w:r>
        <w:rPr/>
        <w:t>Ot</w:t>
      </w:r>
      <w:r>
        <w:rPr>
          <w:color w:val="000000"/>
        </w:rPr>
        <w:t xml:space="preserve">her courts that have examined this issue have come to similar conclusions.  See </w:t>
      </w:r>
      <w:r>
        <w:rPr>
          <w:i/>
          <w:color w:val="000000"/>
        </w:rPr>
        <w:t xml:space="preserve">Wells Fargo Realty Advisors Funding, Inc. v. Uioli, Inc., </w:t>
      </w:r>
      <w:r>
        <w:rPr>
          <w:color w:val="000000"/>
        </w:rPr>
        <w:t>872 P.2d 1359, 1362</w:t>
      </w:r>
      <w:r>
        <w:rPr>
          <w:i/>
          <w:color w:val="000000"/>
        </w:rPr>
        <w:t xml:space="preserve"> </w:t>
      </w:r>
      <w:r>
        <w:rPr>
          <w:color w:val="000000"/>
        </w:rPr>
        <w:t xml:space="preserve">(Colo. Ct. App. 1994), </w:t>
      </w:r>
      <w:r>
        <w:rPr>
          <w:i/>
          <w:color w:val="000000"/>
          <w:lang w:eastAsia="en-US"/>
        </w:rPr>
        <w:t>reh'g denied</w:t>
      </w:r>
      <w:r>
        <w:rPr>
          <w:color w:val="000000"/>
          <w:lang w:eastAsia="en-US"/>
        </w:rPr>
        <w:t>, (Colo. Ct. App. Mar. 10, 1994)</w:t>
      </w:r>
      <w:r>
        <w:rPr/>
        <w:t xml:space="preserve"> (duty of good faith and fair dealing does not obligate party to accept material change in terms of contract or to assume obligations that vary or contradict contract’s express provisions, nor does duty inject substantive terms into parties’ contract; rather, it requires only that parties perform in good faith the obligations imposed by their agreement.) </w:t>
      </w:r>
      <w:r>
        <w:rPr>
          <w:u w:val="single"/>
        </w:rPr>
        <w:t>See</w:t>
      </w:r>
      <w:r>
        <w:rPr/>
        <w:t xml:space="preserve"> </w:t>
      </w:r>
      <w:r>
        <w:rPr>
          <w:u w:val="single"/>
        </w:rPr>
        <w:t>also</w:t>
      </w:r>
      <w:r>
        <w:rPr/>
        <w:t xml:space="preserve"> </w:t>
      </w:r>
      <w:r>
        <w:rPr>
          <w:i/>
          <w:color w:val="000000"/>
        </w:rPr>
        <w:t>Missouri Public Service Co. v. Peabody Coal Co.</w:t>
      </w:r>
      <w:r>
        <w:rPr>
          <w:color w:val="000000"/>
        </w:rPr>
        <w:t xml:space="preserve">, 583 S.W.2d 721, 725 (Mo. Ct. App. 1979), </w:t>
      </w:r>
      <w:r>
        <w:rPr>
          <w:i/>
          <w:color w:val="000000"/>
        </w:rPr>
        <w:t>c</w:t>
      </w:r>
      <w:r>
        <w:rPr>
          <w:i/>
          <w:color w:val="000000"/>
          <w:lang w:eastAsia="en-US"/>
        </w:rPr>
        <w:t>ert. denied</w:t>
      </w:r>
      <w:r>
        <w:rPr>
          <w:color w:val="000000"/>
          <w:lang w:eastAsia="en-US"/>
        </w:rPr>
        <w:t xml:space="preserve">, 444 U.S. 865 (1979) </w:t>
      </w:r>
      <w:r>
        <w:rPr/>
        <w:t xml:space="preserve">(“[t]he fact that foreseeable economic trends or developments resulted in loss of anticipated profits or, as here claimed, actual financial loss, does not prevent Public Service from refusal of a modification of price and to take advantage of a good bargain.”); </w:t>
      </w:r>
      <w:r>
        <w:rPr>
          <w:i/>
        </w:rPr>
        <w:t>La. Power &amp; Light v. Allegheny Ludlum Industries</w:t>
      </w:r>
      <w:r>
        <w:rPr/>
        <w:t xml:space="preserve">, 517 F. Supp. 1319, 1329 (E.D. La. 1981) (“there is no obligation imposed under law which would have required LP&amp;L to engage in renegotiation or even discuss renegotiation of its contract with Allegheny.”).    </w:t>
      </w:r>
    </w:p>
    <w:p>
      <w:pPr>
        <w:pStyle w:val="Normal"/>
        <w:spacing w:lineRule="auto" w:line="360" w:before="240" w:after="0"/>
        <w:rPr>
          <w:b/>
          <w:color w:val="000000"/>
          <w:u w:val="single"/>
        </w:rPr>
      </w:pPr>
      <w:r>
        <w:rPr>
          <w:b/>
          <w:color w:val="000000"/>
          <w:u w:val="single"/>
        </w:rPr>
        <w:t>CONCLUSION:</w:t>
      </w:r>
    </w:p>
    <w:p>
      <w:pPr>
        <w:pStyle w:val="BodyTextIndent2"/>
        <w:jc w:val="both"/>
        <w:rPr>
          <w:color w:val="000000"/>
        </w:rPr>
      </w:pPr>
      <w:r>
        <w:rPr>
          <w:color w:val="000000"/>
        </w:rPr>
        <w:t>Under the covenant of good faith and fair dealing, each party impliedly promises that he will not intentionally or purposely do anything that will destroy or injure the other party's right to receive the fruits of the contract. A violation of the covenant gives rise to a claim for breach of contract.  Courts in Colorado have held that the covenant may be relied upon only when the manner of performance under a specific contract term allows for discretion on the part of either party.  Although contracts are subject to implied covenants of good faith, such contracts cannot be construed to establish new, independent rights, or duties not agreed upon by the parties.  No law was found which would impose an obligation upon Wildhorse to engage in renegotiation with Enron with regards to the treatment facility.</w:t>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9:34 AM</w:t>
    </w:r>
    <w:r>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144" w:start="144" w:end="0"/>
        <w:rPr/>
      </w:pPr>
      <w:r>
        <w:rPr>
          <w:rStyle w:val="FootnoteCharacters"/>
        </w:rPr>
        <w:footnoteRef/>
      </w:r>
      <w:r>
        <w:rPr/>
        <w:t xml:space="preserve"> </w:t>
      </w:r>
      <w:r>
        <w:rPr/>
        <w:t>The duty to act with commercial reasonableness arises under the U.C.C.  Since the U.C.C. is not applicable here, the memo will focus on the duty to act in good faith.</w:t>
      </w:r>
    </w:p>
  </w:footnote>
  <w:footnote w:id="3">
    <w:p>
      <w:pPr>
        <w:pStyle w:val="FootnoteText"/>
        <w:spacing w:before="0" w:after="120"/>
        <w:ind w:hanging="144" w:start="144" w:end="0"/>
        <w:rPr/>
      </w:pPr>
      <w:r>
        <w:rPr>
          <w:rStyle w:val="FootnoteCharacters"/>
        </w:rPr>
        <w:footnoteRef/>
      </w:r>
      <w:r>
        <w:rPr/>
        <w:t xml:space="preserve"> </w:t>
      </w:r>
      <w:r>
        <w:rPr/>
        <w:t>U.C.C. 1-201 (2000).  Both Colorado and Utah have adopted the U.C.C and the Restatement (Second) of Contracts.</w:t>
      </w:r>
    </w:p>
  </w:footnote>
  <w:footnote w:id="4">
    <w:p>
      <w:pPr>
        <w:pStyle w:val="FootnoteText"/>
        <w:spacing w:before="0" w:after="120"/>
        <w:ind w:hanging="144" w:start="144" w:end="0"/>
        <w:rPr/>
      </w:pPr>
      <w:r>
        <w:rPr>
          <w:rStyle w:val="FootnoteCharacters"/>
        </w:rPr>
        <w:footnoteRef/>
      </w:r>
      <w:r>
        <w:rPr/>
        <w:t xml:space="preserve"> </w:t>
      </w:r>
      <w:r>
        <w:rPr/>
        <w:t xml:space="preserve">Thomas B. Romer, </w:t>
      </w:r>
      <w:r>
        <w:rPr>
          <w:u w:val="single"/>
        </w:rPr>
        <w:t>Negotiate in Good Faith as to What? An Analysis of the Good Faith Negotiation Clause of the Telecommunications Act of 1996</w:t>
      </w:r>
      <w:r>
        <w:rPr/>
        <w:t>, 69 U. Colo. L. Rev. 257, 288 (1998), citing U.C.C. 1-102 cmt. 2 (1995).</w:t>
      </w:r>
    </w:p>
  </w:footnote>
  <w:footnote w:id="5">
    <w:p>
      <w:pPr>
        <w:pStyle w:val="Normal"/>
        <w:spacing w:before="0" w:after="120"/>
        <w:ind w:hanging="144" w:start="144" w:end="0"/>
        <w:rPr/>
      </w:pPr>
      <w:r>
        <w:rPr>
          <w:rStyle w:val="FootnoteCharacters"/>
        </w:rPr>
        <w:footnoteRef/>
      </w:r>
      <w:r>
        <w:rPr>
          <w:sz w:val="20"/>
        </w:rPr>
        <w:t xml:space="preserve"> </w:t>
      </w:r>
      <w:r>
        <w:rPr>
          <w:sz w:val="20"/>
        </w:rPr>
        <w:t xml:space="preserve">R. Wilson Freyermuth, </w:t>
      </w:r>
      <w:r>
        <w:rPr>
          <w:sz w:val="20"/>
          <w:u w:val="single"/>
        </w:rPr>
        <w:t>Enforcement of Acceleration Provisions and the Rhetoric of Good Faith</w:t>
      </w:r>
      <w:r>
        <w:rPr>
          <w:sz w:val="20"/>
        </w:rPr>
        <w:t>, 1998 B.Y.U. L. Rev. 1035, 1063 (1998).</w:t>
      </w:r>
    </w:p>
  </w:footnote>
  <w:footnote w:id="6">
    <w:p>
      <w:pPr>
        <w:pStyle w:val="Normal"/>
        <w:spacing w:before="0" w:after="120"/>
        <w:ind w:hanging="144" w:start="144" w:end="0"/>
        <w:rPr/>
      </w:pPr>
      <w:r>
        <w:rPr>
          <w:rStyle w:val="FootnoteCharacters"/>
        </w:rPr>
        <w:footnoteRef/>
      </w:r>
      <w:r>
        <w:rPr>
          <w:sz w:val="20"/>
        </w:rPr>
        <w:t xml:space="preserve"> </w:t>
      </w:r>
      <w:r>
        <w:rPr>
          <w:sz w:val="20"/>
        </w:rPr>
        <w:t>Restatement (Second) of Contracts 205 (1979) cmt. e.</w:t>
      </w:r>
    </w:p>
  </w:footnote>
  <w:footnote w:id="7">
    <w:p>
      <w:pPr>
        <w:pStyle w:val="FootnoteText"/>
        <w:spacing w:before="0" w:after="120"/>
        <w:ind w:hanging="144" w:start="144" w:end="0"/>
        <w:rPr/>
      </w:pPr>
      <w:r>
        <w:rPr>
          <w:rStyle w:val="FootnoteCharacters"/>
        </w:rPr>
        <w:footnoteRef/>
      </w:r>
      <w:r>
        <w:rPr>
          <w:i/>
        </w:rPr>
        <w:t xml:space="preserve"> </w:t>
      </w:r>
      <w:r>
        <w:rPr/>
        <w:t>Freyermuth</w:t>
      </w:r>
      <w:r>
        <w:rPr>
          <w:i/>
        </w:rPr>
        <w:t xml:space="preserve">, supra, </w:t>
      </w:r>
      <w:r>
        <w:rPr/>
        <w:t xml:space="preserve"> at 1063</w:t>
      </w:r>
      <w:r>
        <w:rPr>
          <w:i/>
        </w:rPr>
        <w:t>.</w:t>
      </w:r>
    </w:p>
  </w:footnote>
  <w:footnote w:id="8">
    <w:p>
      <w:pPr>
        <w:pStyle w:val="FootnoteText"/>
        <w:spacing w:before="0" w:after="120"/>
        <w:ind w:hanging="144" w:start="144" w:end="0"/>
        <w:rPr/>
      </w:pPr>
      <w:r>
        <w:rPr>
          <w:rStyle w:val="FootnoteCharacters"/>
        </w:rPr>
        <w:footnoteRef/>
      </w:r>
      <w:r>
        <w:rPr/>
        <w:t xml:space="preserve"> </w:t>
      </w:r>
      <w:r>
        <w:rPr>
          <w:color w:val="000000"/>
        </w:rPr>
        <w:t xml:space="preserve">See, e.g., </w:t>
      </w:r>
      <w:r>
        <w:rPr>
          <w:i/>
          <w:color w:val="000000"/>
        </w:rPr>
        <w:t>Resource Management Co. v. Weston Ranch &amp; Livestock Co.</w:t>
      </w:r>
      <w:r>
        <w:rPr>
          <w:color w:val="000000"/>
        </w:rPr>
        <w:t xml:space="preserve">, 706 P.2d 1028, 1037 (Utah 1985) (mineral development agreement); </w:t>
      </w:r>
      <w:r>
        <w:rPr>
          <w:i/>
          <w:color w:val="000000"/>
        </w:rPr>
        <w:t>Leigh Furniture and Carpet Co. v. Isom</w:t>
      </w:r>
      <w:r>
        <w:rPr>
          <w:color w:val="000000"/>
        </w:rPr>
        <w:t xml:space="preserve">, 657 P.2d 293, 311 (Utah 1982) (contract for sale of a furniture business); </w:t>
      </w:r>
      <w:r>
        <w:rPr>
          <w:i/>
          <w:color w:val="000000"/>
        </w:rPr>
        <w:t>Rio Algom Corp. v. Jimco Ltd.,</w:t>
      </w:r>
      <w:r>
        <w:rPr>
          <w:color w:val="000000"/>
        </w:rPr>
        <w:t xml:space="preserve"> 618 P.2d 497, 505 (Utah 1980) (uranium lease); </w:t>
      </w:r>
      <w:r>
        <w:rPr>
          <w:i/>
          <w:color w:val="000000"/>
        </w:rPr>
        <w:t xml:space="preserve">Zion's Properties, Inc. v. Holt, </w:t>
      </w:r>
      <w:r>
        <w:rPr>
          <w:color w:val="000000"/>
        </w:rPr>
        <w:t xml:space="preserve">538 P.2d 1319, 1321 (Utah 1975) (real estate contract for commercial property); </w:t>
      </w:r>
      <w:r>
        <w:rPr>
          <w:i/>
          <w:color w:val="000000"/>
        </w:rPr>
        <w:t>Ted R. Brown and Assoc. v. Carnes Corp.,</w:t>
      </w:r>
      <w:r>
        <w:rPr>
          <w:color w:val="000000"/>
        </w:rPr>
        <w:t xml:space="preserve"> 753 P.2d 964, 970 (Utah Ct. App. 1988) (sales agreement). But see </w:t>
      </w:r>
      <w:r>
        <w:rPr>
          <w:i/>
          <w:color w:val="000000"/>
        </w:rPr>
        <w:t>Berube v. Fashion Centre, Ltd.,</w:t>
      </w:r>
      <w:r>
        <w:rPr>
          <w:color w:val="000000"/>
        </w:rPr>
        <w:t xml:space="preserve"> 771 P.2d 1033, 1051-52 (Utah 1989) (rejecting the application of the covenant in a contract for employment at will).</w:t>
      </w:r>
    </w:p>
  </w:footnote>
  <w:footnote w:id="9">
    <w:p>
      <w:pPr>
        <w:pStyle w:val="FootnoteText"/>
        <w:spacing w:before="0" w:after="120"/>
        <w:ind w:hanging="144" w:start="144" w:end="0"/>
        <w:rPr/>
      </w:pPr>
      <w:r>
        <w:rPr>
          <w:rStyle w:val="FootnoteCharacters"/>
        </w:rPr>
        <w:footnoteRef/>
      </w:r>
      <w:r>
        <w:rPr/>
        <w:t xml:space="preserve"> </w:t>
      </w:r>
      <w:r>
        <w:rPr/>
        <w:t xml:space="preserve">In </w:t>
      </w:r>
      <w:r>
        <w:rPr>
          <w:i/>
        </w:rPr>
        <w:t>PDQ</w:t>
      </w:r>
      <w:r>
        <w:rPr/>
        <w:t xml:space="preserve">, </w:t>
      </w:r>
      <w:r>
        <w:rPr>
          <w:color w:val="000000"/>
          <w:lang w:eastAsia="en-US"/>
        </w:rPr>
        <w:t xml:space="preserve">the defendant Huber contended that he did not breach the covenant of good faith and fair dealing since he had a contractual right to delay performance until he was assured that PDQ would receive financing.  The court found that both parties under concurrent performance obligations must perform before either can bring an action against the other.  Thus, Huber might have had a contractual right to delay performance if PDQ had failed to perform.  In view of the finding that PDQ had done everything it could to obtain financing up to that time, Huber had no contractual right to delay performance.  </w:t>
      </w:r>
      <w:r>
        <w:rPr>
          <w:i/>
          <w:color w:val="000000"/>
          <w:lang w:eastAsia="en-US"/>
        </w:rPr>
        <w:t>PDQ</w:t>
      </w:r>
      <w:r>
        <w:rPr>
          <w:color w:val="000000"/>
          <w:lang w:eastAsia="en-US"/>
        </w:rPr>
        <w:t xml:space="preserve"> at 799.</w:t>
      </w:r>
    </w:p>
  </w:footnote>
  <w:footnote w:id="10">
    <w:p>
      <w:pPr>
        <w:pStyle w:val="FootnoteText"/>
        <w:spacing w:before="0" w:after="120"/>
        <w:ind w:hanging="144" w:start="144" w:end="0"/>
        <w:rPr/>
      </w:pPr>
      <w:r>
        <w:rPr>
          <w:rStyle w:val="FootnoteCharacters"/>
        </w:rPr>
        <w:footnoteRef/>
      </w:r>
      <w:r>
        <w:rPr/>
        <w:t xml:space="preserve"> </w:t>
      </w:r>
      <w:r>
        <w:rPr/>
        <w:t>U.C.C. 1-203 cmt. ( 1995).</w:t>
      </w:r>
    </w:p>
  </w:footnote>
  <w:footnote w:id="11">
    <w:p>
      <w:pPr>
        <w:pStyle w:val="FootnoteText"/>
        <w:spacing w:before="0" w:after="120"/>
        <w:ind w:hanging="144" w:start="144" w:end="0"/>
        <w:rPr/>
      </w:pPr>
      <w:r>
        <w:rPr>
          <w:rStyle w:val="FootnoteCharacters"/>
        </w:rPr>
        <w:footnoteRef/>
      </w:r>
      <w:r>
        <w:rPr/>
        <w:t xml:space="preserve"> </w:t>
      </w:r>
      <w:r>
        <w:rPr>
          <w:color w:val="000000"/>
        </w:rPr>
        <w:t xml:space="preserve">See, e.g., </w:t>
      </w:r>
      <w:r>
        <w:rPr>
          <w:i/>
          <w:color w:val="000000"/>
        </w:rPr>
        <w:t xml:space="preserve">Wells Fargo Realty Advisors Funding, Inc. v. Uioli, Inc., </w:t>
      </w:r>
      <w:r>
        <w:rPr>
          <w:color w:val="000000"/>
        </w:rPr>
        <w:t>872 P.2d 1359, 1362</w:t>
      </w:r>
      <w:r>
        <w:rPr>
          <w:i/>
          <w:color w:val="000000"/>
        </w:rPr>
        <w:t xml:space="preserve"> </w:t>
      </w:r>
      <w:r>
        <w:rPr>
          <w:color w:val="000000"/>
        </w:rPr>
        <w:t>(Colo. Ct. App. 1994)</w:t>
      </w:r>
      <w:r>
        <w:rPr>
          <w:i/>
          <w:color w:val="000000"/>
        </w:rPr>
        <w:t xml:space="preserve">; Ruff v. Yuma County Transp. Co., </w:t>
      </w:r>
      <w:r>
        <w:rPr>
          <w:color w:val="000000"/>
        </w:rPr>
        <w:t>690 P.2d 1296, 1298 (Colo. App. 1984)</w:t>
      </w:r>
      <w:r>
        <w:rPr>
          <w:i/>
          <w:color w:val="000000"/>
        </w:rPr>
        <w:t>;</w:t>
      </w:r>
      <w:r>
        <w:rPr>
          <w:color w:val="000000"/>
        </w:rPr>
        <w:t xml:space="preserve"> see also </w:t>
      </w:r>
      <w:r>
        <w:rPr>
          <w:i/>
          <w:color w:val="000000"/>
        </w:rPr>
        <w:t>Larese  v. Creamland Dairies, Inc.,</w:t>
      </w:r>
      <w:r>
        <w:rPr>
          <w:color w:val="000000"/>
        </w:rPr>
        <w:t xml:space="preserve"> 767 F.2d 716, 717 (10th Cir. 1985) (explaining that the franchisor-franchisee relationship is one that requires the parties to deal with one another in good faith and in a commercially reasonable manner).</w:t>
      </w:r>
    </w:p>
  </w:footnote>
  <w:footnote w:id="12">
    <w:p>
      <w:pPr>
        <w:pStyle w:val="FootnoteText"/>
        <w:spacing w:before="0" w:after="120"/>
        <w:ind w:hanging="144" w:start="144" w:end="0"/>
        <w:rPr/>
      </w:pPr>
      <w:r>
        <w:rPr>
          <w:rStyle w:val="FootnoteCharacters"/>
        </w:rPr>
        <w:footnoteRef/>
      </w:r>
      <w:r>
        <w:rPr/>
        <w:t xml:space="preserve"> </w:t>
      </w:r>
      <w:r>
        <w:rPr/>
        <w:t xml:space="preserve">The concept of discretion in performance "refers to one party's power after contract formation to set or control the terms of performance." Discretion occurs when the parties, at formation, defer a decision regarding performance terms of the contract. </w:t>
      </w:r>
      <w:r>
        <w:rPr>
          <w:i/>
          <w:color w:val="000000"/>
        </w:rPr>
        <w:t xml:space="preserve">Amoco, </w:t>
      </w:r>
      <w:r>
        <w:rPr>
          <w:color w:val="000000"/>
        </w:rPr>
        <w:t>at 498</w:t>
      </w:r>
      <w:r>
        <w:rPr/>
        <w:t xml:space="preserve">. Generally, the good faith performance doctrine may be used to protect a "weaker" party from a "stronger" party. Weakness and strength in this context, however, do not refer to the relative bargaining power of the parties.  </w:t>
      </w:r>
      <w:r>
        <w:rPr>
          <w:i/>
        </w:rPr>
        <w:t>Amoco,</w:t>
      </w:r>
      <w:r>
        <w:rPr/>
        <w:t xml:space="preserve"> at 489.</w:t>
      </w:r>
    </w:p>
  </w:footnote>
  <w:footnote w:id="13">
    <w:p>
      <w:pPr>
        <w:pStyle w:val="Normal"/>
        <w:spacing w:before="0" w:after="120"/>
        <w:ind w:hanging="144" w:start="144" w:end="0"/>
        <w:rPr/>
      </w:pPr>
      <w:r>
        <w:rPr>
          <w:rStyle w:val="FootnoteCharacters"/>
        </w:rPr>
        <w:footnoteRef/>
      </w:r>
      <w:r>
        <w:rPr>
          <w:sz w:val="20"/>
        </w:rPr>
        <w:t xml:space="preserve"> </w:t>
      </w:r>
      <w:r>
        <w:rPr>
          <w:sz w:val="20"/>
        </w:rPr>
        <w:t xml:space="preserve">Romer, </w:t>
      </w:r>
      <w:r>
        <w:rPr>
          <w:i/>
          <w:sz w:val="20"/>
        </w:rPr>
        <w:t>supra</w:t>
      </w:r>
      <w:r>
        <w:rPr>
          <w:sz w:val="20"/>
        </w:rPr>
        <w:t>, at 259.</w:t>
      </w:r>
    </w:p>
  </w:footnote>
  <w:footnote w:id="14">
    <w:p>
      <w:pPr>
        <w:pStyle w:val="FootnoteText"/>
        <w:spacing w:before="0" w:after="120"/>
        <w:ind w:hanging="144" w:start="144" w:end="0"/>
        <w:rPr/>
      </w:pPr>
      <w:r>
        <w:rPr>
          <w:rStyle w:val="FootnoteCharacters"/>
        </w:rPr>
        <w:footnoteRef/>
      </w:r>
      <w:r>
        <w:rPr/>
        <w:t xml:space="preserve"> </w:t>
      </w:r>
      <w:r>
        <w:rPr>
          <w:i/>
        </w:rPr>
        <w:t>Id.</w:t>
      </w:r>
      <w:r>
        <w:rPr/>
        <w:t xml:space="preserve"> at 283. See U.C.C. 2-103 (1995); Restatement (Second) of Contracts 205 cmt. c (1981).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MessageHeaderLabel">
    <w:name w:val="Message Header Label"/>
    <w:qFormat/>
    <w:rPr>
      <w:rFonts w:ascii="Times New Roman" w:hAnsi="Times New Roman" w:cs="Times New Roman"/>
      <w:b/>
      <w:spacing w:val="-4"/>
      <w:position w:val="0"/>
      <w:sz w:val="24"/>
      <w:sz w:val="24"/>
      <w:vertAlign w:val="baselin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Label">
    <w:name w:val="Document Label"/>
    <w:next w:val="MessageHeaderFirst"/>
    <w:qFormat/>
    <w:pPr>
      <w:widowControl/>
      <w:tabs>
        <w:tab w:val="clear" w:pos="720"/>
        <w:tab w:val="left" w:pos="1800" w:leader="none"/>
      </w:tabs>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MessageHeader">
    <w:name w:val="Message Header"/>
    <w:basedOn w:val="BodyText"/>
    <w:qFormat/>
    <w:pPr>
      <w:keepLines/>
      <w:tabs>
        <w:tab w:val="clear" w:pos="720"/>
        <w:tab w:val="left" w:pos="1560" w:leader="none"/>
      </w:tabs>
      <w:spacing w:lineRule="atLeast" w:line="415" w:before="0" w:after="0"/>
      <w:ind w:hanging="720" w:start="1560" w:end="0"/>
    </w:pPr>
    <w:rPr/>
  </w:style>
  <w:style w:type="paragraph" w:styleId="MessageHeaderFirst">
    <w:name w:val="Message Header First"/>
    <w:basedOn w:val="MessageHeader"/>
    <w:next w:val="MessageHeader"/>
    <w:qFormat/>
    <w:pPr>
      <w:spacing w:lineRule="auto" w:line="240"/>
      <w:ind w:hanging="720" w:start="1555" w:end="0"/>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BodyTextIndent3">
    <w:name w:val="Body Text Indent 3"/>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ind w:hanging="720" w:start="1440" w:end="0"/>
    </w:pPr>
    <w:rPr/>
  </w:style>
  <w:style w:type="paragraph" w:styleId="BodyTextIndent2">
    <w:name w:val="Body Text Indent 2"/>
    <w:basedOn w:val="Normal"/>
    <w:qFormat/>
    <w:pPr>
      <w:ind w:firstLine="720" w:start="0" w:end="0"/>
    </w:pPr>
    <w:rPr/>
  </w:style>
  <w:style w:type="paragraph" w:styleId="BlockText">
    <w:name w:val="Block Text"/>
    <w:basedOn w:val="Normal"/>
    <w:qFormat/>
    <w:pPr>
      <w:ind w:hanging="0" w:start="1440" w:end="1440"/>
      <w:jc w:val="both"/>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2000-09-12T13:59:00Z</dcterms:created>
  <dc:creator>Preferred Customer</dc:creator>
  <dc:description/>
  <dc:language>en-CA</dc:language>
  <cp:lastModifiedBy>Preferred Customer</cp:lastModifiedBy>
  <cp:lastPrinted>2000-09-13T15:58:00Z</cp:lastPrinted>
  <dcterms:modified xsi:type="dcterms:W3CDTF">2000-09-14T13:17:00Z</dcterms:modified>
  <cp:revision>58</cp:revision>
  <dc:subject/>
  <dc:title/>
</cp:coreProperties>
</file>