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Mike Small</w:t>
      </w:r>
    </w:p>
    <w:p>
      <w:pPr>
        <w:pStyle w:val="Normal"/>
        <w:rPr/>
      </w:pPr>
      <w:r>
        <w:rPr/>
      </w:r>
    </w:p>
    <w:p>
      <w:pPr>
        <w:pStyle w:val="Normal"/>
        <w:rPr/>
      </w:pPr>
      <w:r>
        <w:rPr/>
        <w:t>From:</w:t>
        <w:tab/>
        <w:t>Deborah Brentani</w:t>
      </w:r>
    </w:p>
    <w:p>
      <w:pPr>
        <w:pStyle w:val="Normal"/>
        <w:rPr/>
      </w:pPr>
      <w:r>
        <w:rPr/>
      </w:r>
    </w:p>
    <w:p>
      <w:pPr>
        <w:pStyle w:val="Normal"/>
        <w:rPr/>
      </w:pPr>
      <w:r>
        <w:rPr/>
        <w:t>Date:</w:t>
        <w:tab/>
        <w:t>January 17, 2001</w:t>
      </w:r>
    </w:p>
    <w:p>
      <w:pPr>
        <w:pStyle w:val="Normal"/>
        <w:rPr/>
      </w:pPr>
      <w:r>
        <w:rPr/>
      </w:r>
    </w:p>
    <w:p>
      <w:pPr>
        <w:pStyle w:val="Normal"/>
        <w:rPr/>
      </w:pPr>
      <w:r>
        <w:rPr/>
        <w:t>Re:</w:t>
        <w:tab/>
        <w:t>Determination of Market Price for Damages Calculation</w:t>
      </w:r>
    </w:p>
    <w:p>
      <w:pPr>
        <w:pStyle w:val="Normal"/>
        <w:rPr/>
      </w:pPr>
      <w:r>
        <w:rPr/>
      </w:r>
    </w:p>
    <w:p>
      <w:pPr>
        <w:pStyle w:val="Normal"/>
        <w:pBdr>
          <w:top w:val="single" w:sz="4" w:space="1" w:color="000000"/>
        </w:pBdr>
        <w:rPr/>
      </w:pPr>
      <w:r>
        <w:rPr/>
      </w:r>
    </w:p>
    <w:p>
      <w:pPr>
        <w:pStyle w:val="Normal"/>
        <w:pBdr>
          <w:top w:val="single" w:sz="4" w:space="1" w:color="000000"/>
        </w:pBdr>
        <w:rPr>
          <w:b/>
          <w:u w:val="single"/>
        </w:rPr>
      </w:pPr>
      <w:r>
        <w:rPr>
          <w:b/>
          <w:u w:val="single"/>
        </w:rPr>
        <w:t>Issue</w:t>
      </w:r>
    </w:p>
    <w:p>
      <w:pPr>
        <w:pStyle w:val="Normal"/>
        <w:pBdr>
          <w:top w:val="single" w:sz="4" w:space="1" w:color="000000"/>
        </w:pBdr>
        <w:rPr>
          <w:b/>
          <w:u w:val="single"/>
        </w:rPr>
      </w:pPr>
      <w:r>
        <w:rPr>
          <w:b/>
          <w:u w:val="single"/>
        </w:rPr>
      </w:r>
    </w:p>
    <w:p>
      <w:pPr>
        <w:pStyle w:val="Normal"/>
        <w:pBdr>
          <w:top w:val="single" w:sz="4" w:space="1" w:color="000000"/>
        </w:pBdr>
        <w:rPr/>
      </w:pPr>
      <w:r>
        <w:rPr/>
        <w:t xml:space="preserve">How a market price is determined for use in a damages calculation, such as under section 21.3 of the WSPP agreement?  </w:t>
      </w:r>
    </w:p>
    <w:p>
      <w:pPr>
        <w:pStyle w:val="Normal"/>
        <w:pBdr>
          <w:top w:val="single" w:sz="4" w:space="1" w:color="000000"/>
        </w:pBdr>
        <w:rPr/>
      </w:pPr>
      <w:r>
        <w:rPr/>
      </w:r>
    </w:p>
    <w:p>
      <w:pPr>
        <w:pStyle w:val="Normal"/>
        <w:pBdr>
          <w:top w:val="single" w:sz="4" w:space="1" w:color="000000"/>
        </w:pBdr>
        <w:rPr>
          <w:b/>
          <w:u w:val="single"/>
        </w:rPr>
      </w:pPr>
      <w:r>
        <w:rPr>
          <w:b/>
          <w:u w:val="single"/>
        </w:rPr>
        <w:t>Discussion</w:t>
      </w:r>
    </w:p>
    <w:p>
      <w:pPr>
        <w:pStyle w:val="Normal"/>
        <w:pBdr>
          <w:top w:val="single" w:sz="4" w:space="1" w:color="000000"/>
        </w:pBdr>
        <w:rPr>
          <w:b/>
          <w:u w:val="single"/>
        </w:rPr>
      </w:pPr>
      <w:r>
        <w:rPr>
          <w:b/>
          <w:u w:val="single"/>
        </w:rPr>
      </w:r>
    </w:p>
    <w:p>
      <w:pPr>
        <w:pStyle w:val="Normal"/>
        <w:pBdr>
          <w:top w:val="single" w:sz="4" w:space="1" w:color="000000"/>
        </w:pBdr>
        <w:rPr/>
      </w:pPr>
      <w:r>
        <w:rPr/>
        <w:tab/>
        <w:t xml:space="preserve">Under the section 21.3 of the WSPP agreement, damages for failure to deliver or receive electric power under the Service Schedules B and C, damages are to be calculated using the difference between the either the replacement price or sales price, depending whether the seller or purchaser breached, and the contract price.  Under the definitions, if the replacement price or sales price if there is no substitute purchase or sale, than the market price as determined in a commercially reasonable manner is to be used to calculate the damages.  </w:t>
      </w:r>
    </w:p>
    <w:p>
      <w:pPr>
        <w:pStyle w:val="Normal"/>
        <w:pBdr>
          <w:top w:val="single" w:sz="4" w:space="1" w:color="000000"/>
        </w:pBdr>
        <w:rPr/>
      </w:pPr>
      <w:r>
        <w:rPr/>
      </w:r>
    </w:p>
    <w:p>
      <w:pPr>
        <w:pStyle w:val="Normal"/>
        <w:ind w:firstLine="720" w:end="0"/>
        <w:rPr/>
      </w:pPr>
      <w:r>
        <w:rPr/>
        <w:t xml:space="preserve">Most of the cases discussing the determination of market price used for calculating damages involve the application of the UCC.  These cases state that under the specific state’s adoption of the UCC damages are calculated using the difference from the contract price and the market price.  The market price is determined for the time and place of delivery.  </w:t>
      </w:r>
      <w:r>
        <w:rPr>
          <w:u w:val="single"/>
        </w:rPr>
        <w:t>See</w:t>
      </w:r>
      <w:r>
        <w:rPr/>
        <w:t xml:space="preserve"> UCC §§ 2-708, 2-713.  Additionally, The UCC §2-273, Proof of Market Price: Time and Place, provides some guidance for determining market price:</w:t>
      </w:r>
    </w:p>
    <w:p>
      <w:pPr>
        <w:pStyle w:val="Normal"/>
        <w:rPr/>
      </w:pPr>
      <w:r>
        <w:rPr/>
      </w:r>
    </w:p>
    <w:p>
      <w:pPr>
        <w:pStyle w:val="BodyTextIndent"/>
        <w:numPr>
          <w:ilvl w:val="0"/>
          <w:numId w:val="2"/>
        </w:numPr>
        <w:ind w:hanging="360" w:start="1080" w:end="720"/>
        <w:rPr/>
      </w:pPr>
      <w:r>
        <w:rPr/>
        <w:t xml:space="preserve">If an action based on anticipatory repudiation comes to trial before the time for performance with respect to some or all of the goods, any damages based on market price (Section 2-708 or Section 2-713) shall be determined according to the price of such goods prevailing at the time when the aggrieved party learned of the repudiation. </w:t>
      </w:r>
    </w:p>
    <w:p>
      <w:pPr>
        <w:pStyle w:val="BodyTextIndent"/>
        <w:ind w:end="720"/>
        <w:rPr/>
      </w:pPr>
      <w:r>
        <w:rPr/>
      </w:r>
    </w:p>
    <w:p>
      <w:pPr>
        <w:pStyle w:val="Normal"/>
        <w:numPr>
          <w:ilvl w:val="0"/>
          <w:numId w:val="2"/>
        </w:numPr>
        <w:ind w:hanging="360" w:start="1080" w:end="720"/>
        <w:rPr/>
      </w:pPr>
      <w:r>
        <w:rPr/>
        <w:t xml:space="preserve">If evidence of a price prevailing at the times or places described in this Article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 </w:t>
      </w:r>
    </w:p>
    <w:p>
      <w:pPr>
        <w:pStyle w:val="Normal"/>
        <w:ind w:end="720"/>
        <w:rPr/>
      </w:pPr>
      <w:r>
        <w:rPr/>
      </w:r>
    </w:p>
    <w:p>
      <w:pPr>
        <w:pStyle w:val="Normal"/>
        <w:numPr>
          <w:ilvl w:val="0"/>
          <w:numId w:val="2"/>
        </w:numPr>
        <w:ind w:hanging="360" w:start="1080" w:end="720"/>
        <w:rPr/>
      </w:pPr>
      <w:r>
        <w:rPr/>
        <w:t xml:space="preserve">Evidence of a relevant price prevailing at a time or place other than the one described in this Article offered by one party is not admissible unless and until he has given the other party such notice as the court finds sufficient to prevent unfair surprise. </w:t>
      </w:r>
    </w:p>
    <w:p>
      <w:pPr>
        <w:pStyle w:val="Normal"/>
        <w:rPr/>
      </w:pPr>
      <w:r>
        <w:rPr/>
      </w:r>
    </w:p>
    <w:p>
      <w:pPr>
        <w:pStyle w:val="Normal"/>
        <w:rPr/>
      </w:pPr>
      <w:r>
        <w:rPr/>
        <w:t>U.C.C. § 2-273.  The Official Comment provides:</w:t>
      </w:r>
    </w:p>
    <w:p>
      <w:pPr>
        <w:pStyle w:val="Normal"/>
        <w:rPr/>
      </w:pPr>
      <w:r>
        <w:rPr/>
      </w:r>
    </w:p>
    <w:p>
      <w:pPr>
        <w:pStyle w:val="Normal"/>
        <w:ind w:start="720" w:end="720"/>
        <w:rPr/>
      </w:pPr>
      <w:r>
        <w:rPr/>
        <w:t xml:space="preserve">Where the appropriate market price is not readily available the court is here granted reasonable leeway in receiving evidence of prices current in other comparable markets or at other times comparable to the one in question. In accordance with the general principle of this Article against surprise, however, a party intending to offer evidence of such a substitute price must give suitable notice to the other party. </w:t>
      </w:r>
    </w:p>
    <w:p>
      <w:pPr>
        <w:pStyle w:val="Normal"/>
        <w:ind w:start="720" w:end="720"/>
        <w:rPr/>
      </w:pPr>
      <w:r>
        <w:rPr/>
      </w:r>
    </w:p>
    <w:p>
      <w:pPr>
        <w:pStyle w:val="Normal"/>
        <w:ind w:start="720" w:end="720"/>
        <w:rPr/>
      </w:pPr>
      <w:r>
        <w:rPr/>
        <w:t xml:space="preserve">This section is not intended to exclude the use of any other reasonable method of determining market price or of measuring damages if the circumstances of the case make this necessary. </w:t>
      </w:r>
    </w:p>
    <w:p>
      <w:pPr>
        <w:pStyle w:val="Normal"/>
        <w:ind w:start="720" w:end="720"/>
        <w:rPr/>
      </w:pPr>
      <w:r>
        <w:rPr/>
      </w:r>
    </w:p>
    <w:p>
      <w:pPr>
        <w:pStyle w:val="Normal"/>
        <w:rPr>
          <w:u w:val="single"/>
        </w:rPr>
      </w:pPr>
      <w:r>
        <w:rPr>
          <w:u w:val="single"/>
        </w:rPr>
        <w:t>Id.</w:t>
      </w:r>
    </w:p>
    <w:p>
      <w:pPr>
        <w:pStyle w:val="Normal"/>
        <w:rPr>
          <w:u w:val="single"/>
        </w:rPr>
      </w:pPr>
      <w:r>
        <w:rPr>
          <w:u w:val="single"/>
        </w:rPr>
      </w:r>
    </w:p>
    <w:p>
      <w:pPr>
        <w:pStyle w:val="Normal"/>
        <w:rPr>
          <w:b/>
          <w:u w:val="single"/>
        </w:rPr>
      </w:pPr>
      <w:r>
        <w:rPr>
          <w:b/>
          <w:u w:val="single"/>
        </w:rPr>
        <w:t>Case Law</w:t>
      </w:r>
    </w:p>
    <w:p>
      <w:pPr>
        <w:pStyle w:val="Normal"/>
        <w:rPr>
          <w:b/>
          <w:u w:val="single"/>
        </w:rPr>
      </w:pPr>
      <w:r>
        <w:rPr>
          <w:b/>
          <w:u w:val="single"/>
        </w:rPr>
      </w:r>
    </w:p>
    <w:p>
      <w:pPr>
        <w:pStyle w:val="Normal"/>
        <w:rPr/>
      </w:pPr>
      <w:r>
        <w:rPr/>
        <w:tab/>
        <w:t>Most of the cases did not discuss the determination of market price in detail.  The cases mostly applied the UCC and either a relevant market easily provided the prevailing market price or experts and testimony provided the evidence for the market price.  Some of the cases that provided greater detail regarding the determination of the market price are discussed below.</w:t>
      </w:r>
    </w:p>
    <w:p>
      <w:pPr>
        <w:pStyle w:val="Normal"/>
        <w:rPr/>
      </w:pPr>
      <w:r>
        <w:rPr/>
      </w:r>
    </w:p>
    <w:p>
      <w:pPr>
        <w:pStyle w:val="Normal"/>
        <w:ind w:firstLine="720" w:end="0"/>
        <w:rPr/>
      </w:pPr>
      <w:r>
        <w:rPr/>
        <w:t xml:space="preserve">In </w:t>
      </w:r>
      <w:r>
        <w:rPr>
          <w:u w:val="single"/>
        </w:rPr>
        <w:t>Manchester Pipeline Corp. v. Peoples Natural Gas Co.</w:t>
      </w:r>
      <w:r>
        <w:rPr/>
        <w:t>, 862 F.2d 1439 (10</w:t>
      </w:r>
      <w:r>
        <w:rPr>
          <w:vertAlign w:val="superscript"/>
        </w:rPr>
        <w:t>th</w:t>
      </w:r>
      <w:r>
        <w:rPr/>
        <w:t xml:space="preserve"> Cir. 1988), the appeals court affirmed the finding of a breach of the contract for the sale of gas, but remanded the calculation of damages.  The court applied the Oklahoma codified UCC for seller’s damages for non-acceptance or repudiation as “the difference between the market price at the time and place for tender and the unpaid contract price…”  </w:t>
      </w:r>
      <w:r>
        <w:rPr>
          <w:u w:val="single"/>
        </w:rPr>
        <w:t>Id.</w:t>
      </w:r>
      <w:r>
        <w:rPr/>
        <w:t xml:space="preserve"> at 1446 citing Okla. Stat. Tit. 12A, § 2-709.  This was a long-term, 10-year contract breached in year one.  The court remanded for damages to be calculated with the market price at the time the repudiation of the contract was learned of.  The court’s guidance was that “Manchester’s damages should be calculated by reference to the difference between the Manchester-PNG contract price and the market price of gas under a similar long term contract at the time Manchester learned of PNG’s repudiation.”  </w:t>
      </w:r>
      <w:r>
        <w:rPr>
          <w:u w:val="single"/>
        </w:rPr>
        <w:t>Id.</w:t>
      </w:r>
      <w:r>
        <w:rPr/>
        <w:t xml:space="preserve"> at 1448.  The court noted that there was a difference between the volatile spot market price and the more predictable long term contract price and acknowledged that a commentator believed that the spot market price would be more appropriate for determining the market price when a party learns of an anticipatory repudiation.  </w:t>
      </w:r>
      <w:r>
        <w:rPr>
          <w:u w:val="single"/>
        </w:rPr>
        <w:t>Id.</w:t>
      </w:r>
      <w:r>
        <w:rPr/>
        <w:t xml:space="preserve"> at 1448, n.12</w:t>
      </w:r>
    </w:p>
    <w:p>
      <w:pPr>
        <w:pStyle w:val="Normal"/>
        <w:rPr/>
      </w:pPr>
      <w:r>
        <w:rPr/>
      </w:r>
    </w:p>
    <w:p>
      <w:pPr>
        <w:pStyle w:val="Normal"/>
        <w:ind w:firstLine="720" w:end="0"/>
        <w:rPr/>
      </w:pPr>
      <w:r>
        <w:rPr/>
        <w:t xml:space="preserve">In </w:t>
      </w:r>
      <w:r>
        <w:rPr>
          <w:u w:val="single"/>
        </w:rPr>
        <w:t>Trans World Metals, Inc. v. Southwire Co.</w:t>
      </w:r>
      <w:r>
        <w:rPr/>
        <w:t xml:space="preserve">, 769 F.2d 902 (2d Cir. 1985), the appeals court affirmed a jury award of damages regarding breach by Southwire of agreement to purchase aluminum from Trans World.  The contract was negotiated in April 1981 and the price of aluminum fell in March 1982.  Southwire repudiated the agreement on March 4, 1982.  The agreement was an installment contract under the UCC.  In the case the court noted that seller’s damages were determined under §2-708 of the UCC as the “difference between the market price at the time and place for tender and the unpaid contract price”  </w:t>
      </w:r>
      <w:r>
        <w:rPr>
          <w:u w:val="single"/>
        </w:rPr>
        <w:t>Id.</w:t>
      </w:r>
      <w:r>
        <w:rPr/>
        <w:t xml:space="preserve"> at 907.  In this case the market price was based on the market price reflected by bids received on April 26 even though the repudiation was on March 4.  This calculation reflects the time for tender rather than the time of repudiation, which would only be the correct time for determining the market price if the action was brought before the time of performance.  </w:t>
      </w:r>
      <w:r>
        <w:rPr>
          <w:u w:val="single"/>
        </w:rPr>
        <w:t>Id.</w:t>
      </w:r>
      <w:r>
        <w:rPr/>
        <w:t xml:space="preserve"> at 909.  The market price used for the damage calculation was provided by Trans World’s experts and reflected a projection from the actual price for April 1982 with anticipated increases for the subsequent months.  This calculation point was not preserved for appeal, but the court noted that the calculated amounts were less than the actual market prices which were known by the time of trial.  </w:t>
      </w:r>
      <w:r>
        <w:rPr>
          <w:u w:val="single"/>
        </w:rPr>
        <w:t>Id.</w:t>
      </w:r>
      <w:r>
        <w:rPr/>
        <w:t xml:space="preserve"> at 910.  </w:t>
      </w:r>
    </w:p>
    <w:p>
      <w:pPr>
        <w:pStyle w:val="Normal"/>
        <w:rPr/>
      </w:pPr>
      <w:r>
        <w:rPr/>
      </w:r>
    </w:p>
    <w:p>
      <w:pPr>
        <w:pStyle w:val="Normal"/>
        <w:ind w:firstLine="720" w:end="0"/>
        <w:rPr/>
      </w:pPr>
      <w:r>
        <w:rPr/>
        <w:t xml:space="preserve">In </w:t>
      </w:r>
      <w:r>
        <w:rPr>
          <w:u w:val="single"/>
        </w:rPr>
        <w:t>Kirkwood Agri-Trade v. Frosty Land Foods International, Inc.</w:t>
      </w:r>
      <w:r>
        <w:rPr/>
        <w:t>, 650 F.2d 602 (5</w:t>
      </w:r>
      <w:r>
        <w:rPr>
          <w:vertAlign w:val="superscript"/>
        </w:rPr>
        <w:t>th</w:t>
      </w:r>
      <w:r>
        <w:rPr/>
        <w:t xml:space="preserve"> Cir. 1981), the court estimated the market price for tripe in determining damages for breach of delivery of tripe under the UCC.  Frosty Land argued that the court’s estimate of the market price was based on spot contracts made in another place and not the place of tender.  However, the court noted that there was “testimony at the trial that the various individual contracts for sale of trip reflected the prevailing market price.”  </w:t>
      </w:r>
      <w:r>
        <w:rPr>
          <w:u w:val="single"/>
        </w:rPr>
        <w:t>Id.</w:t>
      </w:r>
      <w:r>
        <w:rPr/>
        <w:t xml:space="preserve"> at 605.</w:t>
      </w:r>
    </w:p>
    <w:p>
      <w:pPr>
        <w:pStyle w:val="Normal"/>
        <w:rPr/>
      </w:pPr>
      <w:r>
        <w:rPr/>
      </w:r>
    </w:p>
    <w:p>
      <w:pPr>
        <w:pStyle w:val="Normal"/>
        <w:rPr/>
      </w:pPr>
      <w:r>
        <w:rPr/>
        <w:tab/>
        <w:t xml:space="preserve">In another case involving a lease, </w:t>
      </w:r>
      <w:r>
        <w:rPr>
          <w:u w:val="single"/>
        </w:rPr>
        <w:t>White v. Atlantic Richfield Co.</w:t>
      </w:r>
      <w:r>
        <w:rPr/>
        <w:t>, 945 F.2d 1130 (9</w:t>
      </w:r>
      <w:r>
        <w:rPr>
          <w:vertAlign w:val="superscript"/>
        </w:rPr>
        <w:t>th</w:t>
      </w:r>
      <w:r>
        <w:rPr/>
        <w:t xml:space="preserve"> Cir. 1991), the court used a market value at the time of the breach to determine damages.  The court stated that evidence of similar leases in the vicinity would be relevant to determining the fair market value of the lease.  </w:t>
      </w:r>
      <w:r>
        <w:rPr>
          <w:u w:val="single"/>
        </w:rPr>
        <w:t>Id.</w:t>
      </w:r>
      <w:r>
        <w:rPr/>
        <w:t xml:space="preserve"> at 1132.  The reassignment of a lease was analogized to condemnation cases.  </w:t>
      </w:r>
    </w:p>
    <w:p>
      <w:pPr>
        <w:pStyle w:val="Normal"/>
        <w:rPr/>
      </w:pPr>
      <w:r>
        <w:rPr/>
      </w:r>
    </w:p>
    <w:p>
      <w:pPr>
        <w:pStyle w:val="Normal"/>
        <w:rPr>
          <w:b/>
          <w:u w:val="single"/>
        </w:rPr>
      </w:pPr>
      <w:r>
        <w:rPr>
          <w:b/>
          <w:u w:val="single"/>
        </w:rPr>
        <w:t>Conclusion</w:t>
      </w:r>
    </w:p>
    <w:p>
      <w:pPr>
        <w:pStyle w:val="Normal"/>
        <w:rPr>
          <w:b/>
          <w:u w:val="single"/>
        </w:rPr>
      </w:pPr>
      <w:r>
        <w:rPr>
          <w:b/>
          <w:u w:val="single"/>
        </w:rPr>
      </w:r>
    </w:p>
    <w:p>
      <w:pPr>
        <w:pStyle w:val="Normal"/>
        <w:ind w:firstLine="720" w:end="0"/>
        <w:rPr/>
      </w:pPr>
      <w:r>
        <w:rPr/>
        <w:t>The case law indicates that similar contracts may be useful in determining an appropriate market price for use in a damages calculation.  The market price should be calculated for the time and place of delivery under the agreement.</w:t>
      </w:r>
    </w:p>
    <w:p>
      <w:pPr>
        <w:pStyle w:val="Normal"/>
        <w:rPr/>
      </w:pPr>
      <w:r>
        <w:rPr/>
      </w:r>
    </w:p>
    <w:p>
      <w:pPr>
        <w:pStyle w:val="Normal"/>
        <w:rPr/>
      </w:pPr>
      <w:r>
        <w:rPr/>
      </w:r>
    </w:p>
    <w:p>
      <w:pPr>
        <w:pStyle w:val="Normal"/>
        <w:rPr/>
      </w:pPr>
      <w:r>
        <w:rPr/>
      </w:r>
    </w:p>
    <w:p>
      <w:pPr>
        <w:pStyle w:val="Normal"/>
        <w:rPr>
          <w:sz w:val="20"/>
        </w:rPr>
      </w:pPr>
      <w:r>
        <w:rPr>
          <w:sz w:val="20"/>
        </w:rPr>
        <w:fldChar w:fldCharType="begin"/>
      </w:r>
      <w:r>
        <w:rPr>
          <w:sz w:val="20"/>
        </w:rPr>
        <w:instrText xml:space="preserve"> FILENAME \p </w:instrText>
      </w:r>
      <w:r>
        <w:rPr>
          <w:sz w:val="20"/>
        </w:rPr>
        <w:fldChar w:fldCharType="separate"/>
      </w:r>
      <w:r>
        <w:rPr>
          <w:sz w:val="20"/>
        </w:rPr>
        <w:t>/mnt/main-storage/datasets/enron-docs/doc/memo_re_determination_of_market_price.doc</w:t>
      </w:r>
      <w:r>
        <w:rPr>
          <w:sz w:val="20"/>
        </w:rPr>
        <w:fldChar w:fldCharType="end"/>
      </w:r>
    </w:p>
    <w:sectPr>
      <w:footerReference w:type="default" r:id="rId2"/>
      <w:footerReference w:type="first" r:id="rId3"/>
      <w:type w:val="nextPage"/>
      <w:pgSz w:w="12240" w:h="15840"/>
      <w:pgMar w:left="2160" w:right="1440" w:gutter="0" w:header="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BodyTextIndent">
    <w:name w:val="Body Text Indent"/>
    <w:basedOn w:val="Normal"/>
    <w:pPr>
      <w:ind w:hanging="0" w:start="720" w:end="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2001-01-17T15:30:00Z</dcterms:created>
  <dc:creator>Deborah Brentani</dc:creator>
  <dc:description/>
  <dc:language>en-CA</dc:language>
  <cp:lastModifiedBy>Deborah Brentani</cp:lastModifiedBy>
  <cp:lastPrinted>2001-01-17T19:28:00Z</cp:lastPrinted>
  <dcterms:modified xsi:type="dcterms:W3CDTF">2001-01-17T22:07:00Z</dcterms:modified>
  <cp:revision>4</cp:revision>
  <dc:subject/>
  <dc:title>To:</dc:title>
</cp:coreProperties>
</file>