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ind w:hanging="0" w:end="0"/>
        <w:rPr>
          <w:b/>
          <w:bCs/>
        </w:rPr>
      </w:pPr>
      <w:r>
        <w:rPr>
          <w:b/>
          <w:bCs/>
        </w:rPr>
        <w:t>The following are excerpted sections of the Project 20/20 Purchase and Sale Agreement related to the Notice of Disagreement.</w:t>
      </w:r>
    </w:p>
    <w:p>
      <w:pPr>
        <w:pStyle w:val="BodyTextFirstIndent"/>
        <w:ind w:hanging="0" w:end="0"/>
        <w:jc w:val="center"/>
        <w:rPr>
          <w:b/>
          <w:bCs/>
        </w:rPr>
      </w:pPr>
      <w:r>
        <w:rPr>
          <w:b/>
          <w:bCs/>
        </w:rPr>
        <w:t>CERTAIN DEFINITIONS</w:t>
      </w:r>
    </w:p>
    <w:p>
      <w:pPr>
        <w:pStyle w:val="BodyTextFirstIndent"/>
        <w:rPr/>
      </w:pPr>
      <w:r>
        <w:rPr/>
        <w:t xml:space="preserve"> “</w:t>
      </w:r>
      <w:r>
        <w:rPr>
          <w:u w:val="single"/>
        </w:rPr>
        <w:t>Cash Disbursements</w:t>
      </w:r>
      <w:r>
        <w:rPr/>
        <w:t>” means all cash payments by Seller that are attributable to the Transferred Companies that are incurred in the ordinary course of business consistent with past practices, including expenses and capital expenditures on the EMS Gathering System, capital contributions made by EMS to Bighorn, demand payments made to Fort Union and Lost Creek, employee expenses, general and administrative expenses (excluding Enron Corp internal allocations, capital contributions made by EWR to Lost Creek from the Reserve Account, and cash paid by Seller for activities related to the role of Lost Creek construction manager).</w:t>
      </w:r>
    </w:p>
    <w:p>
      <w:pPr>
        <w:pStyle w:val="BodyTextFirstIndent"/>
        <w:rPr/>
      </w:pPr>
      <w:r>
        <w:rPr/>
        <w:t>“</w:t>
      </w:r>
      <w:r>
        <w:rPr>
          <w:u w:val="single"/>
        </w:rPr>
        <w:t>Cash Receipts</w:t>
      </w:r>
      <w:r>
        <w:rPr/>
        <w:t>” means all cash received by Seller that are attributable to the Transferred Companies including revenues received on the EMS Gathering System, distributions made to EMS, EPR, and EWR from Bighorn, Fort Union, and Lost Creek respectively, and interest income and principal payments received from Sapphire Bay, L.L.C. and Quantum Energy, L.L.C., but excluding any cash received by Seller from Lost Creek for activities related to the role of Lost Creek construction manager.</w:t>
      </w:r>
    </w:p>
    <w:p>
      <w:pPr>
        <w:pStyle w:val="BodyTextFirstIndent"/>
        <w:rPr>
          <w:b/>
        </w:rPr>
      </w:pPr>
      <w:r>
        <w:rPr/>
        <w:t xml:space="preserve"> “</w:t>
      </w:r>
      <w:r>
        <w:rPr>
          <w:u w:val="single"/>
        </w:rPr>
        <w:t>Final Settlement Date</w:t>
      </w:r>
      <w:r>
        <w:rPr/>
        <w:t xml:space="preserve">” has the meaning specified in </w:t>
      </w:r>
      <w:r>
        <w:rPr>
          <w:u w:val="single"/>
        </w:rPr>
        <w:t>Section 2.5</w:t>
      </w:r>
      <w:r>
        <w:rPr/>
        <w:t>.</w:t>
      </w:r>
    </w:p>
    <w:p>
      <w:pPr>
        <w:pStyle w:val="BodyTextFirstIndent"/>
        <w:rPr/>
      </w:pPr>
      <w:r>
        <w:rPr/>
        <w:t>“</w:t>
      </w:r>
      <w:r>
        <w:rPr>
          <w:u w:val="single"/>
        </w:rPr>
        <w:t>Financial Statements</w:t>
      </w:r>
      <w:r>
        <w:rPr/>
        <w:t xml:space="preserve">” means the unaudited financial statements of each Transferred Company as of, and for the eight (8) month period ending on, August 31, 2000, as set forth in </w:t>
      </w:r>
      <w:r>
        <w:rPr>
          <w:u w:val="single"/>
        </w:rPr>
        <w:t>Schedule 3.1(i)</w:t>
      </w:r>
      <w:r>
        <w:rPr/>
        <w:t xml:space="preserve">.  </w:t>
      </w:r>
    </w:p>
    <w:p>
      <w:pPr>
        <w:pStyle w:val="BodyTextFirstIndent"/>
        <w:rPr/>
      </w:pPr>
      <w:r>
        <w:rPr/>
        <w:t xml:space="preserve"> “</w:t>
      </w:r>
      <w:r>
        <w:rPr>
          <w:u w:val="single"/>
        </w:rPr>
        <w:t>GAAP</w:t>
      </w:r>
      <w:r>
        <w:rPr/>
        <w:t>” means generally accepted accounting principles, as recognized by the U.S. Financial Accounting Standards Board (as in effect during the period covered by the Financial Statements), consistently applied.</w:t>
      </w:r>
    </w:p>
    <w:p>
      <w:pPr>
        <w:pStyle w:val="BodyTextFirstIndent"/>
        <w:rPr/>
      </w:pPr>
      <w:r>
        <w:rPr/>
        <w:t xml:space="preserve"> “</w:t>
      </w:r>
      <w:r>
        <w:rPr>
          <w:u w:val="single"/>
        </w:rPr>
        <w:t>Liability</w:t>
      </w:r>
      <w:r>
        <w:rPr/>
        <w:t>” means any debt, obligation, duty or liability of any nature (including any undisclosed, unfixed, unliquidated, unsecured, unmatured, unaccrued, unasserted, contingent, conditional, inchoate, implied, vicarious, joint, several or secondary liability), regardless of whether such debt, obligation, duty or liability would be required to be disclosed on a balance sheet prepared in accordance with GAAP.</w:t>
      </w:r>
    </w:p>
    <w:p>
      <w:pPr>
        <w:pStyle w:val="Heading1"/>
        <w:numPr>
          <w:ilvl w:val="0"/>
          <w:numId w:val="0"/>
        </w:numPr>
        <w:ind w:hanging="0" w:start="0"/>
        <w:rPr/>
      </w:pPr>
      <w:r>
        <w:rPr/>
        <w:t>ARTICE II</w:t>
        <w:br/>
        <w:t>PURCHASE AND SALE OF MEMBERSHIP INTERESTS</w:t>
      </w:r>
    </w:p>
    <w:p>
      <w:pPr>
        <w:pStyle w:val="Heading2"/>
        <w:numPr>
          <w:ilvl w:val="1"/>
          <w:numId w:val="18"/>
        </w:numPr>
        <w:rPr/>
      </w:pPr>
      <w:r>
        <w:rPr>
          <w:u w:val="single"/>
        </w:rPr>
        <w:t>Purchase Price</w:t>
      </w:r>
      <w:r>
        <w:rPr/>
        <w:t>.  The purchase price for the sale and transfer of the Acquired Membership Interests to Purchaser is $204,000,000 (the “</w:t>
      </w:r>
      <w:r>
        <w:rPr>
          <w:u w:val="single"/>
        </w:rPr>
        <w:t>Purchase Price</w:t>
      </w:r>
      <w:r>
        <w:rPr/>
        <w:t>”), subject to adjustment as provided below.  The “</w:t>
      </w:r>
      <w:r>
        <w:rPr>
          <w:u w:val="single"/>
        </w:rPr>
        <w:t>Adjusted Purchase Price</w:t>
      </w:r>
      <w:r>
        <w:rPr/>
        <w:t>” shall be the Purchase Price adjusted as follows:</w:t>
      </w:r>
    </w:p>
    <w:p>
      <w:pPr>
        <w:pStyle w:val="Heading4"/>
        <w:ind w:hanging="0" w:start="0"/>
        <w:rPr/>
      </w:pPr>
      <w:r>
        <w:rPr/>
        <w:t>adjusted downward by the amount of Cash Receipts after the Effective Date and prior to the Closing Date;</w:t>
      </w:r>
    </w:p>
    <w:p>
      <w:pPr>
        <w:pStyle w:val="Heading4"/>
        <w:ind w:hanging="0" w:start="0"/>
        <w:rPr/>
      </w:pPr>
      <w:r>
        <w:rPr/>
        <w:t>adjusted upward by (A) the amount of Cash Disbursements after the Effective Date and prior to the Closing Date, (B) the amount of regular salaries and related employee benefits paid to the Transferred Employees from the Closing Date through September 30, 2000, and (C) Cash Disbursements after the Closing Date and before October 31, 2000 that relate to periods prior to the Closing Date; and</w:t>
      </w:r>
    </w:p>
    <w:p>
      <w:pPr>
        <w:pStyle w:val="Heading4"/>
        <w:ind w:hanging="0" w:start="0"/>
        <w:rPr/>
      </w:pPr>
      <w:r>
        <w:rPr/>
        <w:t>adjusted by any other amount specifically provided for in this Agreement or agreed upon by the Parties in writing.</w:t>
      </w:r>
    </w:p>
    <w:p>
      <w:pPr>
        <w:pStyle w:val="Heading2"/>
        <w:numPr>
          <w:ilvl w:val="0"/>
          <w:numId w:val="0"/>
        </w:numPr>
        <w:ind w:hanging="0" w:start="0"/>
        <w:rPr/>
      </w:pPr>
      <w:r>
        <w:rPr>
          <w:u w:val="single"/>
        </w:rPr>
        <w:t>2.4 Closing Statement</w:t>
      </w:r>
      <w:r>
        <w:rPr/>
        <w:t>.  Not later than three (3) Business Days prior to the Closing Date, Seller shall prepare and deliver to Purchaser a statement (the “</w:t>
      </w:r>
      <w:r>
        <w:rPr>
          <w:u w:val="single"/>
        </w:rPr>
        <w:t>Closing Statement</w:t>
      </w:r>
      <w:r>
        <w:rPr/>
        <w:t>”) of the estimated Purchase Price adjustments and its best estimate of the Adjusted Purchase Price (the “</w:t>
      </w:r>
      <w:r>
        <w:rPr>
          <w:u w:val="single"/>
        </w:rPr>
        <w:t>Estimated Adjusted Purchase Price</w:t>
      </w:r>
      <w:r>
        <w:rPr/>
        <w:t xml:space="preserve">”).  As set forth in </w:t>
      </w:r>
      <w:r>
        <w:rPr>
          <w:u w:val="single"/>
        </w:rPr>
        <w:t>Section 2.6</w:t>
      </w:r>
      <w:r>
        <w:rPr/>
        <w:t>, the closing payment payable by Purchaser at Closing shall be the Estimated Adjusted Purchase Price.</w:t>
      </w:r>
    </w:p>
    <w:p>
      <w:pPr>
        <w:pStyle w:val="Heading2"/>
        <w:numPr>
          <w:ilvl w:val="0"/>
          <w:numId w:val="0"/>
        </w:numPr>
        <w:ind w:hanging="0" w:start="0"/>
        <w:rPr/>
      </w:pPr>
      <w:r>
        <w:rPr>
          <w:u w:val="single"/>
        </w:rPr>
        <w:t>2.5</w:t>
        <w:tab/>
        <w:t>Post-Closing Adjustment to the Purchase Price</w:t>
      </w:r>
      <w:r>
        <w:rPr/>
        <w:t xml:space="preserve">. </w:t>
      </w:r>
    </w:p>
    <w:p>
      <w:pPr>
        <w:pStyle w:val="Heading3"/>
        <w:numPr>
          <w:ilvl w:val="0"/>
          <w:numId w:val="0"/>
        </w:numPr>
        <w:ind w:hanging="0" w:start="0"/>
        <w:rPr/>
      </w:pPr>
      <w:r>
        <w:rPr/>
        <w:tab/>
        <w:t>(a)</w:t>
        <w:tab/>
        <w:t>On or before the date that is sixty (60) days after the Closing Date, Seller shall prepare and deliver to Purchaser a revised Closing Statement setting forth the Purchase Price adjustments and the Adjusted Purchase Price.  To the extent reasonably required by Seller, Purchaser shall assist in the preparation of the revised Closing Statement.  Seller shall provide to Purchaser such data and information as Purchaser may reasonably request supporting the amounts reflected on the revised Closing Statement in order to permit Purchaser to perform or cause to be performed an audit of the revised Closing Statement at Purchaser’s expense.  The revised Closing Statement shall become final and binding upon the parties on the date (the “</w:t>
      </w:r>
      <w:r>
        <w:rPr>
          <w:u w:val="single"/>
        </w:rPr>
        <w:t>Final Settlement Date</w:t>
      </w:r>
      <w:r>
        <w:rPr/>
        <w:t>”) that is thirty (30) days following receipt thereof by Purchaser unless Purchaser gives written notice of its disagreement (“</w:t>
      </w:r>
      <w:r>
        <w:rPr>
          <w:u w:val="single"/>
        </w:rPr>
        <w:t>Notice of Disagreement</w:t>
      </w:r>
      <w:r>
        <w:rPr/>
        <w:t xml:space="preserve">”) to Seller prior to such date.  Any Notice of Disagreement shall specify in detail the dollar amount, nature, and basis of any disagreement so asserted.  If a Notice of Disagreement is received by Seller in a timely manner, then Seller and Purchaser shall diligently work in good faith to reach agreement on a final Closing Statement.  If the Parties fail to agree on the final Closing Statement within thirty (30) days after the date of the Notice of Disagreement, the matter may be submitted by either party to arbitration under </w:t>
      </w:r>
      <w:r>
        <w:rPr>
          <w:u w:val="single"/>
        </w:rPr>
        <w:t>Section 9.9</w:t>
      </w:r>
      <w:r>
        <w:rPr/>
        <w:t xml:space="preserve">.  The Closing Statement shall become final and binding on the Parties on, and the Final Settlement Date shall be, the earlier of (i) the date upon which Seller and Purchaser agree in writing with respect to all matters specified in the Notice of Disagreement or (ii) the date on which the arbitrators’ final decision is issued under </w:t>
      </w:r>
      <w:r>
        <w:rPr>
          <w:u w:val="single"/>
        </w:rPr>
        <w:t>Section 9.9</w:t>
      </w:r>
      <w:r>
        <w:rPr/>
        <w:t>.</w:t>
      </w:r>
    </w:p>
    <w:p>
      <w:pPr>
        <w:pStyle w:val="Heading3"/>
        <w:numPr>
          <w:ilvl w:val="0"/>
          <w:numId w:val="0"/>
        </w:numPr>
        <w:ind w:hanging="0" w:start="0"/>
        <w:rPr/>
      </w:pPr>
      <w:r>
        <w:rPr/>
        <w:tab/>
        <w:t>(b)</w:t>
        <w:tab/>
        <w:t xml:space="preserve">If the Adjusted Purchase Price, as finally determined pursuant to this </w:t>
      </w:r>
      <w:r>
        <w:rPr>
          <w:u w:val="single"/>
        </w:rPr>
        <w:t>Section 2.5</w:t>
      </w:r>
      <w:r>
        <w:rPr/>
        <w:t xml:space="preserve">, is less than the Estimated Adjusted Purchase Price delivered pursuant to </w:t>
      </w:r>
      <w:r>
        <w:rPr>
          <w:u w:val="single"/>
        </w:rPr>
        <w:t>Section 2.4</w:t>
      </w:r>
      <w:r>
        <w:rPr/>
        <w:t xml:space="preserve">, then Seller will pay to Purchaser, within two business days, by wire transfer of immediately available funds, the amount of such shortfall.  If the Adjusted Purchase Price, as finally determined pursuant to this </w:t>
      </w:r>
      <w:r>
        <w:rPr>
          <w:u w:val="single"/>
        </w:rPr>
        <w:t>Section 2.5</w:t>
      </w:r>
      <w:r>
        <w:rPr/>
        <w:t xml:space="preserve">, is greater than the Estimated Adjusted Purchase Price delivered pursuant to </w:t>
      </w:r>
      <w:r>
        <w:rPr>
          <w:u w:val="single"/>
        </w:rPr>
        <w:t>Section 2.4</w:t>
      </w:r>
      <w:r>
        <w:rPr/>
        <w:t xml:space="preserve">, then Purchaser will pay to Seller, within two business days, by wire transfer of immediately available funds, the amount of such excess.  Such payment shall be deemed an adjustment of the Purchase Price in </w:t>
      </w:r>
      <w:r>
        <w:rPr>
          <w:u w:val="single"/>
        </w:rPr>
        <w:t>Section 2.2</w:t>
      </w:r>
      <w:r>
        <w:rPr/>
        <w:t xml:space="preserve">.  </w:t>
      </w:r>
    </w:p>
    <w:p>
      <w:pPr>
        <w:pStyle w:val="Heading1"/>
        <w:numPr>
          <w:ilvl w:val="0"/>
          <w:numId w:val="0"/>
        </w:numPr>
        <w:ind w:hanging="0" w:start="0"/>
        <w:rPr/>
      </w:pPr>
      <w:r>
        <w:rPr/>
        <w:t>ARTICLE III</w:t>
        <w:br/>
        <w:t>REPRESENTATIONS AND WARRANTIES</w:t>
      </w:r>
    </w:p>
    <w:p>
      <w:pPr>
        <w:pStyle w:val="Heading2"/>
        <w:numPr>
          <w:ilvl w:val="0"/>
          <w:numId w:val="0"/>
        </w:numPr>
        <w:ind w:hanging="0" w:start="0"/>
        <w:rPr/>
      </w:pPr>
      <w:r>
        <w:rPr>
          <w:u w:val="single"/>
        </w:rPr>
        <w:t>3.1</w:t>
        <w:tab/>
        <w:t>Representations and Warranties of Seller</w:t>
      </w:r>
      <w:r>
        <w:rPr/>
        <w:t>.</w:t>
      </w:r>
      <w:r>
        <w:rPr>
          <w:b/>
        </w:rPr>
        <w:t xml:space="preserve">  </w:t>
      </w:r>
      <w:r>
        <w:rPr/>
        <w:t>Seller hereby represents and warrants to Purchaser as of the Closing Date, as follows:</w:t>
      </w:r>
    </w:p>
    <w:p>
      <w:pPr>
        <w:pStyle w:val="Heading3"/>
        <w:numPr>
          <w:ilvl w:val="2"/>
          <w:numId w:val="19"/>
        </w:numPr>
        <w:rPr/>
      </w:pPr>
      <w:r>
        <w:rPr>
          <w:u w:val="single"/>
        </w:rPr>
        <w:t>Financial Statements</w:t>
      </w:r>
      <w:r>
        <w:rPr/>
        <w:t xml:space="preserve">.  The Financial Statements (which are attached hereto as </w:t>
      </w:r>
      <w:r>
        <w:rPr>
          <w:u w:val="single"/>
        </w:rPr>
        <w:t>Schedule 3.1(i))</w:t>
      </w:r>
      <w:r>
        <w:rPr/>
        <w:t xml:space="preserve"> are true and accurate (except to the extent any such untruths or inaccuracies do not result in Losses which exceed $50,000, in the aggregate, for each Transferred Company) and fairly present, in all material respects, the financial position of each Transferred Company as of the date thereof and the results of operations of each Transferred Company for the period then ended, and are in conformity with GAAP (subject to normal year-end adjustments, the effect of which, individually or in the aggregate, will not be materially adverse, and except for footnote disclosures required by GAAP), except as otherwise noted therein, and the accounting records underlying the Financial Statements accurately and fairly reflect in all material respects the transactions of each Transferred Company.  Except as set forth on </w:t>
      </w:r>
      <w:r>
        <w:rPr>
          <w:u w:val="single"/>
        </w:rPr>
        <w:t>Schedule 3.1(i)</w:t>
      </w:r>
      <w:r>
        <w:rPr/>
        <w:t xml:space="preserve"> hereto, no Transferred Company has any material Liabilities or obligations of a type which are required to be included in or reflected on the Financial Statements if prepared in accordance with GAAP, whether related to Tax or non-Tax matters, accrued or contingent, due or not yet due, liquidated or unliquidated, or otherwise, except as and to the extent disclosed or reflected in the Financial Statements or otherwise set forth on </w:t>
      </w:r>
      <w:r>
        <w:rPr>
          <w:u w:val="single"/>
        </w:rPr>
        <w:t>Schedule 3.1(i)</w:t>
      </w:r>
      <w:r>
        <w:rPr/>
        <w:t>.</w:t>
      </w:r>
    </w:p>
    <w:p>
      <w:pPr>
        <w:pStyle w:val="Heading3"/>
        <w:numPr>
          <w:ilvl w:val="2"/>
          <w:numId w:val="19"/>
        </w:numPr>
        <w:rPr/>
      </w:pPr>
      <w:r>
        <w:rPr>
          <w:u w:val="single"/>
        </w:rPr>
        <w:t>Absence of Undisclosed Liabilities</w:t>
      </w:r>
      <w:r>
        <w:rPr/>
        <w:t xml:space="preserve">.  Except as set forth in </w:t>
      </w:r>
      <w:r>
        <w:rPr>
          <w:u w:val="single"/>
        </w:rPr>
        <w:t>Schedule 3.1(j)</w:t>
      </w:r>
      <w:r>
        <w:rPr/>
        <w:t xml:space="preserve"> and to the extent fully reflected or reserved against on the Financial Statements, as of the date of the Financial Statements, no Transferred Company had any Liabilities or any Tax Liabilities due or to become due and whether incurred in respect of or measured by the income or sales of that Transferred Company for any period, or arising out of any transaction entered into or any state of facts existing, on or before the date of the Financial Statements, that would have, individually or in the aggregate, a Material Adverse Effect on any Transferred Company.  Since the date of the Financial Statements, no Transferred Company had incurred any Liabilities except in the ordinary course of business.</w:t>
      </w:r>
    </w:p>
    <w:p>
      <w:pPr>
        <w:pStyle w:val="Heading3"/>
        <w:numPr>
          <w:ilvl w:val="2"/>
          <w:numId w:val="19"/>
        </w:numPr>
        <w:rPr/>
      </w:pPr>
      <w:r>
        <w:rPr>
          <w:u w:val="single"/>
        </w:rPr>
        <w:t>Absence of Certain Changes or Events</w:t>
      </w:r>
      <w:r>
        <w:rPr/>
        <w:t xml:space="preserve">.  Except as otherwise set forth on </w:t>
      </w:r>
      <w:r>
        <w:rPr>
          <w:u w:val="single"/>
        </w:rPr>
        <w:t>Schedule 3.1(k)</w:t>
      </w:r>
      <w:r>
        <w:rPr/>
        <w:t xml:space="preserve"> or as contemplated by this Agreement, since the date of the Financial Statements, no Transferred Company has done any of the following:</w:t>
      </w:r>
    </w:p>
    <w:p>
      <w:pPr>
        <w:pStyle w:val="Heading4"/>
        <w:numPr>
          <w:ilvl w:val="3"/>
          <w:numId w:val="19"/>
        </w:numPr>
        <w:rPr/>
      </w:pPr>
      <w:r>
        <w:rPr/>
        <w:t>Discharged or satisfied any Lien or paid any obligation or Liability, absolute or contingent, other than current Liabilities paid in the ordinary course of business;</w:t>
      </w:r>
    </w:p>
    <w:p>
      <w:pPr>
        <w:pStyle w:val="Heading4"/>
        <w:numPr>
          <w:ilvl w:val="3"/>
          <w:numId w:val="19"/>
        </w:numPr>
        <w:rPr/>
      </w:pPr>
      <w:r>
        <w:rPr/>
        <w:t>Made any loans or advances or guaranteed any loans or advances to any Person (other than loans, advances or guaranties made in the ordinary course of business);</w:t>
      </w:r>
    </w:p>
    <w:p>
      <w:pPr>
        <w:pStyle w:val="Heading4"/>
        <w:numPr>
          <w:ilvl w:val="3"/>
          <w:numId w:val="19"/>
        </w:numPr>
        <w:rPr/>
      </w:pPr>
      <w:r>
        <w:rPr/>
        <w:t>Except for Permitted Liens, suffered or permitted any Lien to arise or be granted or created against or upon any of its assets;</w:t>
      </w:r>
    </w:p>
    <w:p>
      <w:pPr>
        <w:pStyle w:val="Heading4"/>
        <w:numPr>
          <w:ilvl w:val="3"/>
          <w:numId w:val="19"/>
        </w:numPr>
        <w:rPr/>
      </w:pPr>
      <w:r>
        <w:rPr/>
        <w:t>Canceled, waived or released any rights or claims against, or indebtedness owed by, third parties;</w:t>
      </w:r>
    </w:p>
    <w:p>
      <w:pPr>
        <w:pStyle w:val="Heading4"/>
        <w:numPr>
          <w:ilvl w:val="3"/>
          <w:numId w:val="19"/>
        </w:numPr>
        <w:rPr/>
      </w:pPr>
      <w:r>
        <w:rPr/>
        <w:t>Made or permitted any amendment, supplement, modification or termination of any Material Agreement;</w:t>
      </w:r>
    </w:p>
    <w:p>
      <w:pPr>
        <w:pStyle w:val="Heading4"/>
        <w:numPr>
          <w:ilvl w:val="3"/>
          <w:numId w:val="19"/>
        </w:numPr>
        <w:rPr/>
      </w:pPr>
      <w:r>
        <w:rPr/>
        <w:t>Expended or committed to expend capital in excess of $100,000;</w:t>
      </w:r>
    </w:p>
    <w:p>
      <w:pPr>
        <w:pStyle w:val="Heading4"/>
        <w:numPr>
          <w:ilvl w:val="3"/>
          <w:numId w:val="19"/>
        </w:numPr>
        <w:rPr/>
      </w:pPr>
      <w:r>
        <w:rPr/>
        <w:t xml:space="preserve">Entered into any swap, hedging or similar arrangements; </w:t>
      </w:r>
    </w:p>
    <w:p>
      <w:pPr>
        <w:pStyle w:val="Heading4"/>
        <w:numPr>
          <w:ilvl w:val="3"/>
          <w:numId w:val="19"/>
        </w:numPr>
        <w:rPr/>
      </w:pPr>
      <w:r>
        <w:rPr/>
        <w:t xml:space="preserve">Made any change in the accounting methods followed by it; </w:t>
      </w:r>
    </w:p>
    <w:p>
      <w:pPr>
        <w:pStyle w:val="Heading4"/>
        <w:numPr>
          <w:ilvl w:val="3"/>
          <w:numId w:val="19"/>
        </w:numPr>
        <w:rPr/>
      </w:pPr>
      <w:r>
        <w:rPr/>
        <w:t xml:space="preserve">Received notice or otherwise acquired knowledge of any dispute or any other occurrence, event or condition of any character which could be anticipated to give rise to a legal or administrative action or a Material Adverse Effect on any Transferred Company; </w:t>
      </w:r>
    </w:p>
    <w:p>
      <w:pPr>
        <w:pStyle w:val="Heading4"/>
        <w:numPr>
          <w:ilvl w:val="3"/>
          <w:numId w:val="19"/>
        </w:numPr>
        <w:rPr/>
      </w:pPr>
      <w:r>
        <w:rPr/>
        <w:t>Suffered any material adverse change in its working capital, financial condition, assets, Liabilities, reserves, business operations or prospects; or</w:t>
      </w:r>
    </w:p>
    <w:p>
      <w:pPr>
        <w:pStyle w:val="Heading4"/>
        <w:numPr>
          <w:ilvl w:val="3"/>
          <w:numId w:val="19"/>
        </w:numPr>
        <w:rPr/>
      </w:pPr>
      <w:r>
        <w:rPr/>
        <w:t>Agreed, whether in writing or otherwise, to do any of the foregoing.</w:t>
      </w:r>
    </w:p>
    <w:p>
      <w:pPr>
        <w:pStyle w:val="Heading3"/>
        <w:numPr>
          <w:ilvl w:val="2"/>
          <w:numId w:val="20"/>
        </w:numPr>
        <w:rPr/>
      </w:pPr>
      <w:r>
        <w:rPr/>
        <w:t xml:space="preserve">Taxes.  </w:t>
      </w:r>
    </w:p>
    <w:p>
      <w:pPr>
        <w:pStyle w:val="Heading4"/>
        <w:numPr>
          <w:ilvl w:val="3"/>
          <w:numId w:val="19"/>
        </w:numPr>
        <w:rPr/>
      </w:pPr>
      <w:r>
        <w:rPr/>
        <w:t xml:space="preserve">Except as shown in </w:t>
      </w:r>
      <w:r>
        <w:rPr>
          <w:u w:val="single"/>
        </w:rPr>
        <w:t>Schedule 3.1(r)</w:t>
      </w:r>
      <w:r>
        <w:rPr/>
        <w:t>, each Transferred Company, and to Seller’s knowledge, each Gathering Company, has: (A) timely filed all federal, state and local returns, declarations, reports, estimates, information returns and statements required to be filed by it with respect to any Taxes and in any instance where the Transferred Company is not required to file a separate return, Seller has included such Transferred Company in its own timely filed return (“</w:t>
      </w:r>
      <w:r>
        <w:rPr>
          <w:u w:val="single"/>
        </w:rPr>
        <w:t>Tax Returns</w:t>
      </w:r>
      <w:r>
        <w:rPr/>
        <w:t xml:space="preserve">”); and (B) timely paid all Taxes that are reflected on such Tax Returns.  Except as shown in </w:t>
      </w:r>
      <w:r>
        <w:rPr>
          <w:u w:val="single"/>
        </w:rPr>
        <w:t>Schedule 3.1(r)</w:t>
      </w:r>
      <w:r>
        <w:rPr/>
        <w:t>, to Seller’s knowledge, all such Tax Returns were correct and complete in all material respects and properly reflect any Tax Liabilities of each Transferred Company or Gathering Company.</w:t>
      </w:r>
    </w:p>
    <w:p>
      <w:pPr>
        <w:pStyle w:val="Heading4"/>
        <w:numPr>
          <w:ilvl w:val="3"/>
          <w:numId w:val="19"/>
        </w:numPr>
        <w:rPr/>
      </w:pPr>
      <w:r>
        <w:rPr/>
        <w:t xml:space="preserve">Except as provided in </w:t>
      </w:r>
      <w:r>
        <w:rPr>
          <w:u w:val="single"/>
        </w:rPr>
        <w:t>Section 4.16</w:t>
      </w:r>
      <w:r>
        <w:rPr/>
        <w:t>, with respect to any Tax Return covering a taxable period beginning on or before the Closing Date and ending after the Closing Date that is required to be filed after the Closing Date with respect to the Transferred Companies, Seller shall cause the Tax Return to be prepared, shall cause to be included in such Tax Return all items of income, gain, loss, deduction and credit and other tax items of the Transferred Companies which are required to be included therein, shall file timely such Tax Return with the appropriate taxing authority, and shall be responsible for the timely payments (and entitled to any refund) of all Taxes due with respect to the period covered by such Tax Return; provided, however, that Seller shall be entitled to reimbursement from Purchaser with respect to any liability for Taxes that relates to any taxable period, or portion thereof, after the Closing Date.</w:t>
      </w:r>
    </w:p>
    <w:p>
      <w:pPr>
        <w:pStyle w:val="Heading4"/>
        <w:numPr>
          <w:ilvl w:val="3"/>
          <w:numId w:val="19"/>
        </w:numPr>
        <w:rPr/>
      </w:pPr>
      <w:r>
        <w:rPr/>
        <w:t>To Seller’s knowledge, no audits or other administrative or court proceedings are presently pending with regard to any federal, state or local Taxes for which a Transferred Company or Gathering Company would be liable.  To Seller’s knowledge, there are no pending requests for rulings from any taxing authority, no outstanding subpoenas or requests for information by any taxing authority with respect to any Taxes, no proposed reassessments by any taxing authority of any property owned or leased, and no agreements in effect to extend the time to file any Tax Return or the period of limitations for the assessment or collection of any material Taxes for which a Transferred Company or Gathering Company would be liable.  There are no Liens (other than Permitted Liens) on any assets of any Transferred Company resulting from the failure of that Transferred Company to pay any Taxes.  Each Transferred Company has, and to Seller’s knowledge, each Gathering Company has, withheld and paid all Taxes required to have been paid in connection with amounts paid or owing to any employee, independent contractor, creditor, member or any third party.</w:t>
      </w:r>
    </w:p>
    <w:p>
      <w:pPr>
        <w:pStyle w:val="Heading1"/>
        <w:numPr>
          <w:ilvl w:val="0"/>
          <w:numId w:val="0"/>
        </w:numPr>
        <w:ind w:hanging="0" w:start="0"/>
        <w:rPr/>
      </w:pPr>
      <w:r>
        <w:rPr/>
        <w:t>ARTICLE IV</w:t>
        <w:br/>
        <w:t>COVENANTS AND AGREEMENTS</w:t>
      </w:r>
    </w:p>
    <w:p>
      <w:pPr>
        <w:pStyle w:val="Heading2"/>
        <w:numPr>
          <w:ilvl w:val="0"/>
          <w:numId w:val="0"/>
        </w:numPr>
        <w:ind w:firstLine="720" w:start="0" w:end="0"/>
        <w:rPr/>
      </w:pPr>
      <w:r>
        <w:rPr/>
        <w:t>4.12</w:t>
        <w:tab/>
      </w:r>
      <w:r>
        <w:rPr>
          <w:u w:val="single"/>
        </w:rPr>
        <w:t>Title Defects</w:t>
      </w:r>
      <w:r>
        <w:rPr/>
        <w:t>.  On or before 90 days after the Closing Date, Seller shall cure the title defects affecting or burdening the Completed Systems in a manner that would generally be considered prudent by an experienced owner of similar properties.</w:t>
      </w:r>
    </w:p>
    <w:p>
      <w:pPr>
        <w:pStyle w:val="Heading2"/>
        <w:numPr>
          <w:ilvl w:val="0"/>
          <w:numId w:val="0"/>
        </w:numPr>
        <w:ind w:firstLine="720" w:start="0" w:end="0"/>
        <w:rPr/>
      </w:pPr>
      <w:r>
        <w:rPr/>
        <w:t>4.15</w:t>
        <w:tab/>
      </w:r>
      <w:r>
        <w:rPr>
          <w:u w:val="single"/>
        </w:rPr>
        <w:t>Gas Imbalances - Further Assistance</w:t>
      </w:r>
      <w:r>
        <w:rPr/>
        <w:t>.  From and after the Closing Date, Purchaser shall take all actions reasonably requested by Seller to permit Seller to resolve the gas imbalances existing under the Firm Gas Gathering Agreements as of the Closing Date.</w:t>
      </w:r>
    </w:p>
    <w:p>
      <w:pPr>
        <w:pStyle w:val="Heading2"/>
        <w:numPr>
          <w:ilvl w:val="0"/>
          <w:numId w:val="0"/>
        </w:numPr>
        <w:ind w:firstLine="720" w:start="0" w:end="0"/>
        <w:rPr/>
      </w:pPr>
      <w:r>
        <w:rPr/>
        <w:t>4.16</w:t>
        <w:tab/>
      </w:r>
      <w:r>
        <w:rPr>
          <w:u w:val="single"/>
        </w:rPr>
        <w:t>Certain Tax Matters</w:t>
      </w:r>
      <w:r>
        <w:rPr/>
        <w:t>.  Seller shall be responsible for and shall pay all sales and use taxes related to the ownership and operation of the EMS Gathering System and to periods of time prior to the Effective Date and Purchaser shall be responsible for, and shall cause EMS to pay, all sales and use taxes related to the ownership and operation of the EMS Gathering System and to periods of time from and after the Effective Date.</w:t>
      </w:r>
    </w:p>
    <w:p>
      <w:pPr>
        <w:pStyle w:val="BodyTextFirstIndent"/>
        <w:rPr/>
      </w:pPr>
      <w:r>
        <w:rPr/>
        <w:br/>
      </w:r>
    </w:p>
    <w:p>
      <w:pPr>
        <w:pStyle w:val="BodyText"/>
        <w:jc w:val="center"/>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aramond">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60" w:leader="none"/>
      </w:tabs>
      <w:rPr/>
    </w:pPr>
    <w:r>
      <w:rPr>
        <w:rStyle w:val="PageNumber"/>
        <w:sz w:val="16"/>
      </w:rPr>
      <w:t>562951.11</w:t>
      <w:tab/>
    </w:r>
    <w:r>
      <w:rPr>
        <w:rStyle w:val="PageNumber"/>
        <w:i/>
        <w:sz w:val="20"/>
      </w:rPr>
      <w:t xml:space="preserve">Schedule 1.1(a) to Purchase and Sale Agreement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lvl>
    <w:lvl w:ilvl="1">
      <w:start w:val="1"/>
      <w:pStyle w:val="Heading2"/>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Letter"/>
      <w:lvlText w:val="(%3)"/>
      <w:lvlJc w:val="start"/>
      <w:pPr>
        <w:tabs>
          <w:tab w:val="num" w:pos="1800"/>
        </w:tabs>
        <w:ind w:start="720" w:firstLine="720"/>
      </w:pPr>
      <w:rPr>
        <w:u w:val="none"/>
      </w:rPr>
    </w:lvl>
    <w:lvl w:ilvl="3">
      <w:start w:val="1"/>
      <w:pStyle w:val="Heading4"/>
      <w:numFmt w:val="lowerRoman"/>
      <w:lvlText w:val="(%4)"/>
      <w:lvlJc w:val="start"/>
      <w:pPr>
        <w:tabs>
          <w:tab w:val="num" w:pos="2880"/>
        </w:tabs>
        <w:ind w:start="1440" w:firstLine="720"/>
      </w:pPr>
      <w:rPr/>
    </w:lvl>
    <w:lvl w:ilvl="4">
      <w:start w:val="1"/>
      <w:pStyle w:val="Heading5"/>
      <w:numFmt w:val="lowerLetter"/>
      <w:lvlText w:val="(%5)"/>
      <w:lvlJc w:val="start"/>
      <w:pPr>
        <w:tabs>
          <w:tab w:val="num" w:pos="3240"/>
        </w:tabs>
        <w:ind w:start="2160" w:firstLine="720"/>
      </w:pPr>
      <w:rPr/>
    </w:lvl>
    <w:lvl w:ilvl="5">
      <w:start w:val="1"/>
      <w:pStyle w:val="Heading6"/>
      <w:numFmt w:val="decimal"/>
      <w:lvlText w:val="%6."/>
      <w:lvlJc w:val="start"/>
      <w:pPr>
        <w:tabs>
          <w:tab w:val="num" w:pos="1080"/>
        </w:tabs>
        <w:ind w:start="0" w:firstLine="720"/>
      </w:pPr>
      <w:rPr/>
    </w:lvl>
    <w:lvl w:ilvl="6">
      <w:start w:val="1"/>
      <w:pStyle w:val="Heading7"/>
      <w:numFmt w:val="lowerLetter"/>
      <w:lvlText w:val="%7."/>
      <w:lvlJc w:val="start"/>
      <w:pPr>
        <w:tabs>
          <w:tab w:val="num" w:pos="4680"/>
        </w:tabs>
        <w:ind w:start="3600" w:firstLine="720"/>
      </w:pPr>
      <w:rPr/>
    </w:lvl>
    <w:lvl w:ilvl="7">
      <w:start w:val="1"/>
      <w:pStyle w:val="Heading8"/>
      <w:numFmt w:val="lowerRoman"/>
      <w:lvlText w:val="%8."/>
      <w:lvlJc w:val="start"/>
      <w:pPr>
        <w:tabs>
          <w:tab w:val="num" w:pos="5760"/>
        </w:tabs>
        <w:ind w:start="4320" w:firstLine="720"/>
      </w:pPr>
      <w:rPr/>
    </w:lvl>
    <w:lvl w:ilvl="8">
      <w:start w:val="1"/>
      <w:pStyle w:val="Heading9"/>
      <w:numFmt w:val="bullet"/>
      <w:lvlText w:val=""/>
      <w:lvlJc w:val="start"/>
      <w:pPr>
        <w:tabs>
          <w:tab w:val="num" w:pos="1440"/>
        </w:tabs>
        <w:ind w:start="1440" w:hanging="720"/>
      </w:pPr>
      <w:rPr>
        <w:rFonts w:ascii="Courier New" w:hAnsi="Courier New" w:cs="Courier New"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bullet"/>
      <w:lvlText w:val=""/>
      <w:lvlJc w:val="start"/>
      <w:pPr>
        <w:tabs>
          <w:tab w:val="num" w:pos="360"/>
        </w:tabs>
        <w:ind w:start="360" w:hanging="360"/>
      </w:pPr>
      <w:rPr>
        <w:rFonts w:ascii="Courier New" w:hAnsi="Courier New" w:cs="Courier New" w:hint="default"/>
      </w:rPr>
    </w:lvl>
  </w:abstractNum>
  <w:abstractNum w:abstractNumId="11">
    <w:lvl w:ilvl="0">
      <w:start w:val="2"/>
      <w:numFmt w:val="decimal"/>
      <w:lvlText w:val="%1"/>
      <w:lvlJc w:val="start"/>
      <w:pPr>
        <w:tabs>
          <w:tab w:val="num" w:pos="720"/>
        </w:tabs>
        <w:ind w:start="720" w:hanging="720"/>
      </w:pPr>
      <w:rPr/>
    </w:lvl>
    <w:lvl w:ilvl="1">
      <w:start w:val="6"/>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2">
    <w:lvl w:ilvl="0">
      <w:start w:val="7"/>
      <w:numFmt w:val="decimal"/>
      <w:lvlText w:val="%1"/>
      <w:lvlJc w:val="start"/>
      <w:pPr>
        <w:tabs>
          <w:tab w:val="num" w:pos="720"/>
        </w:tabs>
        <w:ind w:start="720" w:hanging="720"/>
      </w:pPr>
      <w:rPr/>
    </w:lvl>
    <w:lvl w:ilvl="1">
      <w:start w:val="9"/>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1"/>
      <w:numFmt w:val="lowerLetter"/>
      <w:lvlText w:val="(%1)"/>
      <w:lvlJc w:val="start"/>
      <w:pPr>
        <w:tabs>
          <w:tab w:val="num" w:pos="1800"/>
        </w:tabs>
        <w:ind w:start="0" w:firstLine="1440"/>
      </w:pPr>
      <w:rPr>
        <w:sz w:val="22"/>
        <w:i w:val="false"/>
        <w:u w:val="none"/>
        <w:b w:val="false"/>
        <w:rFonts w:ascii="Courier New" w:hAnsi="Courier New" w:cs="Courier New"/>
      </w:rPr>
    </w:lvl>
    <w:lvl w:ilvl="1">
      <w:start w:val="1"/>
      <w:numFmt w:val="lowerLetter"/>
      <w:lvlText w:val="(%2)"/>
      <w:lvlJc w:val="start"/>
      <w:pPr>
        <w:tabs>
          <w:tab w:val="num" w:pos="360"/>
        </w:tabs>
        <w:ind w:start="1440" w:firstLine="1440"/>
      </w:pPr>
      <w:rPr>
        <w:sz w:val="24"/>
        <w:i w:val="false"/>
        <w:u w:val="none"/>
        <w:b w:val="false"/>
        <w:rFonts w:ascii="Courier New" w:hAnsi="Courier New" w:cs="Courier New"/>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Courier New" w:hAnsi="Courier New" w:cs="Courier New" w:hint="default"/>
        <w:sz w:val="28"/>
        <w:color w:val="000000"/>
      </w:rPr>
    </w:lvl>
  </w:abstractNum>
  <w:abstractNum w:abstractNumId="14">
    <w:lvl w:ilvl="0">
      <w:start w:val="5"/>
      <w:numFmt w:val="decimal"/>
      <w:lvlText w:val="%1"/>
      <w:lvlJc w:val="start"/>
      <w:pPr>
        <w:tabs>
          <w:tab w:val="num" w:pos="810"/>
        </w:tabs>
        <w:ind w:start="810" w:hanging="810"/>
      </w:pPr>
      <w:rPr/>
    </w:lvl>
    <w:lvl w:ilvl="1">
      <w:start w:val="1"/>
      <w:numFmt w:val="decimal"/>
      <w:lvlText w:val="%1.%2"/>
      <w:lvlJc w:val="start"/>
      <w:pPr>
        <w:tabs>
          <w:tab w:val="num" w:pos="1620"/>
        </w:tabs>
        <w:ind w:start="1620" w:hanging="810"/>
      </w:pPr>
      <w:rPr/>
    </w:lvl>
    <w:lvl w:ilvl="2">
      <w:start w:val="1"/>
      <w:numFmt w:val="decimal"/>
      <w:lvlText w:val="%1.%2.%3"/>
      <w:lvlJc w:val="start"/>
      <w:pPr>
        <w:tabs>
          <w:tab w:val="num" w:pos="2430"/>
        </w:tabs>
        <w:ind w:start="2430" w:hanging="810"/>
      </w:pPr>
      <w:rPr/>
    </w:lvl>
    <w:lvl w:ilvl="3">
      <w:start w:val="1"/>
      <w:numFmt w:val="decimal"/>
      <w:lvlText w:val="%1.%2.%3.%4"/>
      <w:lvlJc w:val="start"/>
      <w:pPr>
        <w:tabs>
          <w:tab w:val="num" w:pos="3240"/>
        </w:tabs>
        <w:ind w:start="3240" w:hanging="81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6300"/>
        </w:tabs>
        <w:ind w:start="6300" w:hanging="144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8280"/>
        </w:tabs>
        <w:ind w:start="8280" w:hanging="1800"/>
      </w:pPr>
      <w:rPr/>
    </w:lvl>
  </w:abstractNum>
  <w:abstractNum w:abstractNumId="15">
    <w:lvl w:ilvl="0">
      <w:start w:val="2"/>
      <w:numFmt w:val="decimal"/>
      <w:lvlText w:val="%1"/>
      <w:lvlJc w:val="start"/>
      <w:pPr>
        <w:tabs>
          <w:tab w:val="num" w:pos="360"/>
        </w:tabs>
        <w:ind w:start="360" w:hanging="360"/>
      </w:pPr>
      <w:rPr/>
    </w:lvl>
    <w:lvl w:ilvl="1">
      <w:start w:val="7"/>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2"/>
      <w:numFmt w:val="decimal"/>
      <w:lvlText w:val="%1"/>
      <w:lvlJc w:val="start"/>
      <w:pPr>
        <w:tabs>
          <w:tab w:val="num" w:pos="360"/>
        </w:tabs>
        <w:ind w:start="360" w:hanging="360"/>
      </w:pPr>
      <w:rPr/>
    </w:lvl>
    <w:lvl w:ilvl="1">
      <w:start w:val="6"/>
      <w:numFmt w:val="decimal"/>
      <w:lvlText w:val="%1.%2"/>
      <w:lvlJc w:val="start"/>
      <w:pPr>
        <w:tabs>
          <w:tab w:val="num" w:pos="1080"/>
        </w:tabs>
        <w:ind w:start="1080" w:hanging="36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7">
    <w:lvl w:ilvl="0">
      <w:start w:val="8"/>
      <w:numFmt w:val="lowerRoman"/>
      <w:lvlText w:val=""/>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decimal"/>
      <w:lvlText w:val="%1"/>
      <w:lvlJc w:val="start"/>
      <w:pPr>
        <w:tabs>
          <w:tab w:val="num" w:pos="360"/>
        </w:tabs>
        <w:ind w:start="360" w:hanging="360"/>
      </w:pPr>
      <w:rPr>
        <w:u w:val="single"/>
      </w:rPr>
    </w:lvl>
    <w:lvl w:ilvl="1">
      <w:start w:val="2"/>
      <w:numFmt w:val="decimal"/>
      <w:lvlText w:val="%1.%2"/>
      <w:lvlJc w:val="start"/>
      <w:pPr>
        <w:tabs>
          <w:tab w:val="num" w:pos="360"/>
        </w:tabs>
        <w:ind w:start="360" w:hanging="360"/>
      </w:pPr>
      <w:rPr>
        <w:u w:val="single"/>
      </w:rPr>
    </w:lvl>
    <w:lvl w:ilvl="2">
      <w:start w:val="1"/>
      <w:numFmt w:val="decimal"/>
      <w:lvlText w:val="%1.%2.%3"/>
      <w:lvlJc w:val="start"/>
      <w:pPr>
        <w:tabs>
          <w:tab w:val="num" w:pos="720"/>
        </w:tabs>
        <w:ind w:start="720" w:hanging="720"/>
      </w:pPr>
      <w:rPr>
        <w:u w:val="single"/>
      </w:rPr>
    </w:lvl>
    <w:lvl w:ilvl="3">
      <w:start w:val="1"/>
      <w:numFmt w:val="decimal"/>
      <w:lvlText w:val="%1.%2.%3.%4"/>
      <w:lvlJc w:val="start"/>
      <w:pPr>
        <w:tabs>
          <w:tab w:val="num" w:pos="720"/>
        </w:tabs>
        <w:ind w:start="720" w:hanging="720"/>
      </w:pPr>
      <w:rPr>
        <w:u w:val="single"/>
      </w:rPr>
    </w:lvl>
    <w:lvl w:ilvl="4">
      <w:start w:val="1"/>
      <w:numFmt w:val="decimal"/>
      <w:lvlText w:val="%1.%2.%3.%4.%5"/>
      <w:lvlJc w:val="start"/>
      <w:pPr>
        <w:tabs>
          <w:tab w:val="num" w:pos="1080"/>
        </w:tabs>
        <w:ind w:start="1080" w:hanging="1080"/>
      </w:pPr>
      <w:rPr>
        <w:u w:val="single"/>
      </w:rPr>
    </w:lvl>
    <w:lvl w:ilvl="5">
      <w:start w:val="1"/>
      <w:numFmt w:val="decimal"/>
      <w:lvlText w:val="%1.%2.%3.%4.%5.%6"/>
      <w:lvlJc w:val="start"/>
      <w:pPr>
        <w:tabs>
          <w:tab w:val="num" w:pos="1080"/>
        </w:tabs>
        <w:ind w:start="1080" w:hanging="1080"/>
      </w:pPr>
      <w:rPr>
        <w:u w:val="single"/>
      </w:rPr>
    </w:lvl>
    <w:lvl w:ilvl="6">
      <w:start w:val="1"/>
      <w:numFmt w:val="decimal"/>
      <w:lvlText w:val="%1.%2.%3.%4.%5.%6.%7"/>
      <w:lvlJc w:val="start"/>
      <w:pPr>
        <w:tabs>
          <w:tab w:val="num" w:pos="1440"/>
        </w:tabs>
        <w:ind w:start="1440" w:hanging="1440"/>
      </w:pPr>
      <w:rPr>
        <w:u w:val="single"/>
      </w:rPr>
    </w:lvl>
    <w:lvl w:ilvl="7">
      <w:start w:val="1"/>
      <w:numFmt w:val="decimal"/>
      <w:lvlText w:val="%1.%2.%3.%4.%5.%6.%7.%8"/>
      <w:lvlJc w:val="start"/>
      <w:pPr>
        <w:tabs>
          <w:tab w:val="num" w:pos="1440"/>
        </w:tabs>
        <w:ind w:start="1440" w:hanging="1440"/>
      </w:pPr>
      <w:rPr>
        <w:u w:val="single"/>
      </w:rPr>
    </w:lvl>
    <w:lvl w:ilvl="8">
      <w:start w:val="1"/>
      <w:numFmt w:val="decimal"/>
      <w:lvlText w:val="%1.%2.%3.%4.%5.%6.%7.%8.%9"/>
      <w:lvlJc w:val="start"/>
      <w:pPr>
        <w:tabs>
          <w:tab w:val="num" w:pos="1800"/>
        </w:tabs>
        <w:ind w:start="1800" w:hanging="1800"/>
      </w:pPr>
      <w:rPr>
        <w:u w:val="single"/>
      </w:rPr>
    </w:lvl>
  </w:abstractNum>
  <w:abstractNum w:abstractNumId="19">
    <w:lvl w:ilvl="0">
      <w:start w:val="1"/>
      <w:numFmt w:val="upperRoman"/>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9"/>
      <w:numFmt w:val="lowerLetter"/>
      <w:lvlText w:val="(%3)"/>
      <w:lvlJc w:val="start"/>
      <w:pPr>
        <w:tabs>
          <w:tab w:val="num" w:pos="1800"/>
        </w:tabs>
        <w:ind w:start="720" w:firstLine="720"/>
      </w:pPr>
      <w:rPr>
        <w:u w:val="none"/>
      </w:rPr>
    </w:lvl>
    <w:lvl w:ilvl="3">
      <w:start w:val="1"/>
      <w:numFmt w:val="lowerRoman"/>
      <w:lvlText w:val="(%4)"/>
      <w:lvlJc w:val="start"/>
      <w:pPr>
        <w:tabs>
          <w:tab w:val="num" w:pos="2880"/>
        </w:tabs>
        <w:ind w:start="1440" w:firstLine="720"/>
      </w:pPr>
      <w:rPr/>
    </w:lvl>
    <w:lvl w:ilvl="4">
      <w:start w:val="1"/>
      <w:numFmt w:val="low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Courier New" w:hAnsi="Courier New" w:cs="Courier New" w:hint="default"/>
        <w:sz w:val="28"/>
        <w:color w:val="auto"/>
      </w:rPr>
    </w:lvl>
  </w:abstractNum>
  <w:abstractNum w:abstractNumId="20">
    <w:lvl w:ilvl="0">
      <w:start w:val="1"/>
      <w:numFmt w:val="upperRoman"/>
      <w:suff w:val="nothing"/>
      <w:lvlText w:val="ARTICLE %1"/>
      <w:lvlJc w:val="start"/>
      <w:pPr>
        <w:tabs>
          <w:tab w:val="num" w:pos="0"/>
        </w:tabs>
        <w:ind w:start="0" w:hanging="0"/>
      </w:pPr>
      <w:rPr/>
    </w:lvl>
    <w:lvl w:ilvl="1">
      <w:start w:val="1"/>
      <w:isLgl/>
      <w:numFmt w:val="decimal"/>
      <w:lvlText w:val="%1.%2"/>
      <w:lvlJc w:val="start"/>
      <w:pPr>
        <w:tabs>
          <w:tab w:val="num" w:pos="1800"/>
        </w:tabs>
        <w:ind w:start="0" w:firstLine="1440"/>
      </w:pPr>
      <w:rPr>
        <w:sz w:val="24"/>
        <w:i w:val="false"/>
        <w:u w:val="none"/>
        <w:b w:val="false"/>
        <w:rFonts w:ascii="Times New Roman" w:hAnsi="Times New Roman" w:cs="Times New Roman"/>
        <w:color w:val="auto"/>
      </w:rPr>
    </w:lvl>
    <w:lvl w:ilvl="2">
      <w:start w:val="18"/>
      <w:numFmt w:val="lowerLetter"/>
      <w:lvlText w:val="(%3)"/>
      <w:lvlJc w:val="start"/>
      <w:pPr>
        <w:tabs>
          <w:tab w:val="num" w:pos="1800"/>
        </w:tabs>
        <w:ind w:start="720" w:firstLine="720"/>
      </w:pPr>
      <w:rPr>
        <w:u w:val="none"/>
      </w:rPr>
    </w:lvl>
    <w:lvl w:ilvl="3">
      <w:start w:val="1"/>
      <w:numFmt w:val="lowerRoman"/>
      <w:lvlText w:val="(%4)"/>
      <w:lvlJc w:val="start"/>
      <w:pPr>
        <w:tabs>
          <w:tab w:val="num" w:pos="2880"/>
        </w:tabs>
        <w:ind w:start="1440" w:firstLine="720"/>
      </w:pPr>
      <w:rPr/>
    </w:lvl>
    <w:lvl w:ilvl="4">
      <w:start w:val="1"/>
      <w:numFmt w:val="lowerLetter"/>
      <w:lvlText w:val="(%5)"/>
      <w:lvlJc w:val="start"/>
      <w:pPr>
        <w:tabs>
          <w:tab w:val="num" w:pos="3240"/>
        </w:tabs>
        <w:ind w:start="2160" w:firstLine="720"/>
      </w:pPr>
      <w:rPr/>
    </w:lvl>
    <w:lvl w:ilvl="5">
      <w:start w:val="1"/>
      <w:numFmt w:val="decimal"/>
      <w:lvlText w:val="%6."/>
      <w:lvlJc w:val="start"/>
      <w:pPr>
        <w:tabs>
          <w:tab w:val="num" w:pos="1080"/>
        </w:tabs>
        <w:ind w:start="0" w:firstLine="720"/>
      </w:pPr>
      <w:rPr/>
    </w:lvl>
    <w:lvl w:ilvl="6">
      <w:start w:val="1"/>
      <w:numFmt w:val="lowerLetter"/>
      <w:lvlText w:val="%7."/>
      <w:lvlJc w:val="start"/>
      <w:pPr>
        <w:tabs>
          <w:tab w:val="num" w:pos="4680"/>
        </w:tabs>
        <w:ind w:start="3600" w:firstLine="720"/>
      </w:pPr>
      <w:rPr/>
    </w:lvl>
    <w:lvl w:ilvl="7">
      <w:start w:val="1"/>
      <w:numFmt w:val="lowerRoman"/>
      <w:lvlText w:val="%8."/>
      <w:lvlJc w:val="start"/>
      <w:pPr>
        <w:tabs>
          <w:tab w:val="num" w:pos="5760"/>
        </w:tabs>
        <w:ind w:start="4320" w:firstLine="720"/>
      </w:pPr>
      <w:rPr/>
    </w:lvl>
    <w:lvl w:ilvl="8">
      <w:start w:val="1"/>
      <w:numFmt w:val="bullet"/>
      <w:lvlText w:val=""/>
      <w:lvlJc w:val="start"/>
      <w:pPr>
        <w:tabs>
          <w:tab w:val="num" w:pos="1440"/>
        </w:tabs>
        <w:ind w:start="1440" w:hanging="720"/>
      </w:pPr>
      <w:rPr>
        <w:rFonts w:ascii="Courier New" w:hAnsi="Courier New" w:cs="Courier New"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SWAllFollowNumberWith" w:val="3|3|3|3|3|3|3|3|3|"/>
    <w:docVar w:name="SWAllNumberStyle" w:val="1|9|11|13|15|17|19|21|23|"/>
    <w:docVar w:name="SWAllRestartAfterHigher" w:val="1|1|1|1|1|1|1|1|1|"/>
    <w:docVar w:name="SWAllStyleThatFollows" w:val="Normal|Normal|Normal|Normal|Normal|Normal|Normal|Normal|Normal|"/>
    <w:docVar w:name="SWAllTextAfter" w:val="|||||||||"/>
    <w:docVar w:name="SWAllTextBefor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jc w:val="center"/>
      <w:outlineLvl w:val="0"/>
    </w:pPr>
    <w:rPr>
      <w:rFonts w:ascii="Times New Roman" w:hAnsi="Times New Roman" w:cs="Times New Roman"/>
      <w:b/>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left" w:pos="720" w:leader="none"/>
      </w:tabs>
      <w:spacing w:before="0" w:after="240"/>
      <w:jc w:val="both"/>
      <w:outlineLvl w:val="2"/>
    </w:pPr>
    <w:rPr/>
  </w:style>
  <w:style w:type="paragraph" w:styleId="Heading4">
    <w:name w:val="heading 4"/>
    <w:basedOn w:val="Normal"/>
    <w:next w:val="BodyText"/>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BodyText"/>
    <w:qFormat/>
    <w:pPr>
      <w:numPr>
        <w:ilvl w:val="4"/>
        <w:numId w:val="1"/>
      </w:numPr>
      <w:tabs>
        <w:tab w:val="left" w:pos="720" w:leader="none"/>
      </w:tabs>
      <w:spacing w:before="0" w:after="240"/>
      <w:jc w:val="both"/>
      <w:outlineLvl w:val="4"/>
    </w:pPr>
    <w:rPr/>
  </w:style>
  <w:style w:type="paragraph" w:styleId="Heading6">
    <w:name w:val="heading 6"/>
    <w:basedOn w:val="Normal"/>
    <w:next w:val="BodyText"/>
    <w:qFormat/>
    <w:pPr>
      <w:numPr>
        <w:ilvl w:val="5"/>
        <w:numId w:val="1"/>
      </w:numPr>
      <w:tabs>
        <w:tab w:val="left" w:pos="720" w:leader="none"/>
        <w:tab w:val="left" w:pos="1080" w:leader="none"/>
      </w:tabs>
      <w:spacing w:before="0" w:after="240"/>
      <w:jc w:val="both"/>
      <w:outlineLvl w:val="5"/>
    </w:pPr>
    <w:rPr/>
  </w:style>
  <w:style w:type="paragraph" w:styleId="Heading7">
    <w:name w:val="heading 7"/>
    <w:basedOn w:val="Normal"/>
    <w:next w:val="BodyText"/>
    <w:qFormat/>
    <w:pPr>
      <w:numPr>
        <w:ilvl w:val="6"/>
        <w:numId w:val="1"/>
      </w:numPr>
      <w:tabs>
        <w:tab w:val="clear" w:pos="720"/>
        <w:tab w:val="left" w:pos="4680" w:leader="none"/>
      </w:tabs>
      <w:spacing w:before="0" w:after="240"/>
      <w:jc w:val="both"/>
      <w:outlineLvl w:val="6"/>
    </w:pPr>
    <w:rPr/>
  </w:style>
  <w:style w:type="paragraph" w:styleId="Heading8">
    <w:name w:val="heading 8"/>
    <w:basedOn w:val="Normal"/>
    <w:next w:val="BodyText"/>
    <w:qFormat/>
    <w:pPr>
      <w:numPr>
        <w:ilvl w:val="7"/>
        <w:numId w:val="1"/>
      </w:numPr>
      <w:tabs>
        <w:tab w:val="clear" w:pos="720"/>
        <w:tab w:val="left" w:pos="5760" w:leader="none"/>
      </w:tabs>
      <w:spacing w:before="0" w:after="240"/>
      <w:jc w:val="both"/>
      <w:outlineLvl w:val="7"/>
    </w:pPr>
    <w:rPr/>
  </w:style>
  <w:style w:type="paragraph" w:styleId="Heading9">
    <w:name w:val="heading 9"/>
    <w:basedOn w:val="Normal"/>
    <w:next w:val="BodyText"/>
    <w:qFormat/>
    <w:pPr>
      <w:numPr>
        <w:ilvl w:val="8"/>
        <w:numId w:val="1"/>
      </w:numPr>
      <w:tabs>
        <w:tab w:val="clear" w:pos="720"/>
        <w:tab w:val="left" w:pos="1440" w:leader="none"/>
      </w:tabs>
      <w:spacing w:before="0" w:after="240"/>
      <w:jc w:val="both"/>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7z1">
    <w:name w:val="WW8Num27z1"/>
    <w:qFormat/>
    <w:rPr>
      <w:rFonts w:ascii="Times New Roman" w:hAnsi="Times New Roman" w:cs="Times New Roman"/>
      <w:b w:val="false"/>
      <w:i w:val="false"/>
      <w:color w:val="auto"/>
      <w:sz w:val="24"/>
      <w:u w:val="none"/>
    </w:rPr>
  </w:style>
  <w:style w:type="character" w:styleId="WW8Num27z2">
    <w:name w:val="WW8Num27z2"/>
    <w:qFormat/>
    <w:rPr>
      <w:u w:val="none"/>
    </w:rPr>
  </w:style>
  <w:style w:type="character" w:styleId="WW8Num27z8">
    <w:name w:val="WW8Num27z8"/>
    <w:qFormat/>
    <w:rPr>
      <w:rFonts w:ascii="Courier New" w:hAnsi="Courier New" w:cs="Courier New"/>
      <w:color w:val="auto"/>
      <w:sz w:val="28"/>
    </w:rPr>
  </w:style>
  <w:style w:type="character" w:styleId="WW8Num28z0">
    <w:name w:val="WW8Num28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Courier New" w:hAnsi="Courier New" w:cs="Courier New"/>
      <w:b w:val="false"/>
      <w:i w:val="false"/>
      <w:sz w:val="22"/>
      <w:u w:val="none"/>
    </w:rPr>
  </w:style>
  <w:style w:type="character" w:styleId="WW8Num38z1">
    <w:name w:val="WW8Num38z1"/>
    <w:qFormat/>
    <w:rPr>
      <w:rFonts w:ascii="Courier New" w:hAnsi="Courier New" w:cs="Courier New"/>
      <w:b w:val="false"/>
      <w:i w:val="false"/>
      <w:sz w:val="24"/>
      <w:u w:val="none"/>
    </w:rPr>
  </w:style>
  <w:style w:type="character" w:styleId="WW8Num38z2">
    <w:name w:val="WW8Num38z2"/>
    <w:qFormat/>
    <w:rPr/>
  </w:style>
  <w:style w:type="character" w:styleId="WW8Num38z8">
    <w:name w:val="WW8Num38z8"/>
    <w:qFormat/>
    <w:rPr>
      <w:rFonts w:ascii="Courier New" w:hAnsi="Courier New" w:cs="Courier New"/>
      <w:color w:val="000000"/>
      <w:sz w:val="28"/>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PathID">
    <w:name w:val="PathID"/>
    <w:basedOn w:val="DefaultParagraphFont"/>
    <w:qFormat/>
    <w:rPr>
      <w:rFonts w:ascii="Times New Roman" w:hAnsi="Times New Roman" w:cs="Times New Roman"/>
      <w:sz w:val="12"/>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paragraph" w:styleId="Heading">
    <w:name w:val="Heading"/>
    <w:basedOn w:val="Normal"/>
    <w:next w:val="Normal"/>
    <w:qFormat/>
    <w:pPr>
      <w:spacing w:before="0" w:after="240"/>
      <w:jc w:val="center"/>
    </w:pPr>
    <w:rPr>
      <w:rFonts w:ascii="Times New Roman" w:hAnsi="Times New Roman" w:cs="Times New Roman"/>
      <w:b/>
    </w:rPr>
  </w:style>
  <w:style w:type="paragraph" w:styleId="BodyText">
    <w:name w:val="Body Text"/>
    <w:basedOn w:val="Normal"/>
    <w:pPr>
      <w:jc w:val="both"/>
    </w:pPr>
    <w:rPr/>
  </w:style>
  <w:style w:type="paragraph" w:styleId="List">
    <w:name w:val="List"/>
    <w:basedOn w:val="Normal"/>
    <w:pPr>
      <w:numPr>
        <w:ilvl w:val="0"/>
        <w:numId w:val="13"/>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OldHeading6">
    <w:name w:val="Old Heading 6"/>
    <w:basedOn w:val="Normal"/>
    <w:qFormat/>
    <w:pPr>
      <w:widowControl/>
      <w:spacing w:before="0" w:after="240"/>
      <w:ind w:firstLine="720" w:start="720" w:end="0"/>
      <w:jc w:val="both"/>
      <w:outlineLvl w:val="5"/>
    </w:pPr>
    <w:rPr/>
  </w:style>
  <w:style w:type="paragraph" w:styleId="Heading17">
    <w:name w:val="Heading 17"/>
    <w:basedOn w:val="Heading2"/>
    <w:qFormat/>
    <w:pPr>
      <w:numPr>
        <w:ilvl w:val="0"/>
        <w:numId w:val="11"/>
      </w:numPr>
      <w:outlineLvl w:val="9"/>
    </w:pPr>
    <w:rPr>
      <w:b/>
    </w:rPr>
  </w:style>
  <w:style w:type="paragraph" w:styleId="Heading18">
    <w:name w:val="Heading 18"/>
    <w:basedOn w:val="Heading2"/>
    <w:qFormat/>
    <w:pPr>
      <w:numPr>
        <w:ilvl w:val="0"/>
        <w:numId w:val="11"/>
      </w:numPr>
      <w:outlineLvl w:val="9"/>
    </w:pPr>
    <w:rPr>
      <w:b/>
    </w:rPr>
  </w:style>
  <w:style w:type="paragraph" w:styleId="Heading19">
    <w:name w:val="Heading 19"/>
    <w:basedOn w:val="Heading2"/>
    <w:qFormat/>
    <w:pPr>
      <w:numPr>
        <w:ilvl w:val="0"/>
        <w:numId w:val="11"/>
      </w:numPr>
      <w:outlineLvl w:val="9"/>
    </w:pPr>
    <w:rPr>
      <w:b/>
    </w:rPr>
  </w:style>
  <w:style w:type="paragraph" w:styleId="Heading21">
    <w:name w:val="Heading 21"/>
    <w:basedOn w:val="Heading2"/>
    <w:qFormat/>
    <w:pPr>
      <w:numPr>
        <w:ilvl w:val="0"/>
        <w:numId w:val="12"/>
      </w:numPr>
      <w:outlineLvl w:val="9"/>
    </w:pPr>
    <w:rPr>
      <w:b/>
    </w:rPr>
  </w:style>
  <w:style w:type="paragraph" w:styleId="Heading22">
    <w:name w:val="Heading 22"/>
    <w:basedOn w:val="Normal"/>
    <w:qFormat/>
    <w:pPr>
      <w:widowControl/>
      <w:numPr>
        <w:ilvl w:val="0"/>
        <w:numId w:val="12"/>
      </w:numPr>
      <w:jc w:val="both"/>
    </w:pPr>
    <w:rPr/>
  </w:style>
  <w:style w:type="paragraph" w:styleId="Heading23">
    <w:name w:val="Heading 23"/>
    <w:basedOn w:val="Heading2"/>
    <w:qFormat/>
    <w:pPr>
      <w:numPr>
        <w:ilvl w:val="0"/>
        <w:numId w:val="12"/>
      </w:numPr>
      <w:outlineLvl w:val="9"/>
    </w:pPr>
    <w:rPr>
      <w:b/>
    </w:rPr>
  </w:style>
  <w:style w:type="paragraph" w:styleId="Heading24">
    <w:name w:val="Heading 24"/>
    <w:basedOn w:val="Heading2"/>
    <w:qFormat/>
    <w:pPr>
      <w:numPr>
        <w:ilvl w:val="0"/>
        <w:numId w:val="12"/>
      </w:numPr>
      <w:outlineLvl w:val="9"/>
    </w:pPr>
    <w:rPr>
      <w:b/>
    </w:rPr>
  </w:style>
  <w:style w:type="paragraph" w:styleId="Heading25">
    <w:name w:val="Heading 25"/>
    <w:basedOn w:val="Heading2"/>
    <w:qFormat/>
    <w:pPr>
      <w:numPr>
        <w:ilvl w:val="0"/>
        <w:numId w:val="12"/>
      </w:numPr>
      <w:outlineLvl w:val="9"/>
    </w:pPr>
    <w:rPr>
      <w:b/>
    </w:rPr>
  </w:style>
  <w:style w:type="paragraph" w:styleId="Heading26">
    <w:name w:val="Heading 26"/>
    <w:basedOn w:val="Heading2"/>
    <w:qFormat/>
    <w:pPr>
      <w:numPr>
        <w:ilvl w:val="0"/>
        <w:numId w:val="12"/>
      </w:numPr>
      <w:outlineLvl w:val="9"/>
    </w:pPr>
    <w:rPr>
      <w:b/>
    </w:rPr>
  </w:style>
  <w:style w:type="paragraph" w:styleId="Heading27">
    <w:name w:val="Heading 27"/>
    <w:basedOn w:val="Heading2"/>
    <w:qFormat/>
    <w:pPr>
      <w:numPr>
        <w:ilvl w:val="0"/>
        <w:numId w:val="12"/>
      </w:numPr>
      <w:outlineLvl w:val="9"/>
    </w:pPr>
    <w:rPr>
      <w:b/>
    </w:rPr>
  </w:style>
  <w:style w:type="paragraph" w:styleId="Heading28">
    <w:name w:val="Heading 28"/>
    <w:basedOn w:val="Heading2"/>
    <w:qFormat/>
    <w:pPr>
      <w:numPr>
        <w:ilvl w:val="0"/>
        <w:numId w:val="12"/>
      </w:numPr>
      <w:outlineLvl w:val="9"/>
    </w:pPr>
    <w:rPr>
      <w:b/>
    </w:rPr>
  </w:style>
  <w:style w:type="paragraph" w:styleId="Heading29">
    <w:name w:val="Heading 29"/>
    <w:basedOn w:val="Heading2"/>
    <w:qFormat/>
    <w:pPr>
      <w:numPr>
        <w:ilvl w:val="0"/>
        <w:numId w:val="12"/>
      </w:numPr>
      <w:outlineLvl w:val="9"/>
    </w:pPr>
    <w:rPr>
      <w:b/>
    </w:rPr>
  </w:style>
  <w:style w:type="paragraph" w:styleId="Heading31">
    <w:name w:val="Heading 31"/>
    <w:basedOn w:val="Heading2"/>
    <w:qFormat/>
    <w:pPr>
      <w:numPr>
        <w:ilvl w:val="0"/>
        <w:numId w:val="14"/>
      </w:numPr>
      <w:outlineLvl w:val="9"/>
    </w:pPr>
    <w:rPr>
      <w:b/>
    </w:rPr>
  </w:style>
  <w:style w:type="paragraph" w:styleId="Heading32">
    <w:name w:val="Heading 32"/>
    <w:basedOn w:val="Normal"/>
    <w:qFormat/>
    <w:pPr>
      <w:widowControl/>
      <w:numPr>
        <w:ilvl w:val="0"/>
        <w:numId w:val="14"/>
      </w:numPr>
      <w:tabs>
        <w:tab w:val="clear" w:pos="720"/>
        <w:tab w:val="right" w:pos="9360" w:leader="dot"/>
      </w:tabs>
      <w:jc w:val="both"/>
    </w:pPr>
    <w:rPr/>
  </w:style>
  <w:style w:type="paragraph" w:styleId="Heading33">
    <w:name w:val="Heading 33"/>
    <w:basedOn w:val="Heading2"/>
    <w:qFormat/>
    <w:pPr>
      <w:numPr>
        <w:ilvl w:val="0"/>
        <w:numId w:val="14"/>
      </w:numPr>
      <w:outlineLvl w:val="9"/>
    </w:pPr>
    <w:rPr>
      <w:b/>
    </w:rPr>
  </w:style>
  <w:style w:type="paragraph" w:styleId="Heading34">
    <w:name w:val="Heading 34"/>
    <w:basedOn w:val="Heading2"/>
    <w:qFormat/>
    <w:pPr>
      <w:numPr>
        <w:ilvl w:val="0"/>
        <w:numId w:val="14"/>
      </w:numPr>
      <w:outlineLvl w:val="9"/>
    </w:pPr>
    <w:rPr>
      <w:b/>
    </w:rPr>
  </w:style>
  <w:style w:type="paragraph" w:styleId="Heading35">
    <w:name w:val="Heading 35"/>
    <w:basedOn w:val="Heading2"/>
    <w:qFormat/>
    <w:pPr>
      <w:numPr>
        <w:ilvl w:val="0"/>
        <w:numId w:val="14"/>
      </w:numPr>
      <w:outlineLvl w:val="9"/>
    </w:pPr>
    <w:rPr>
      <w:b/>
    </w:rPr>
  </w:style>
  <w:style w:type="paragraph" w:styleId="Heading36">
    <w:name w:val="Heading 36"/>
    <w:basedOn w:val="Heading2"/>
    <w:qFormat/>
    <w:pPr>
      <w:numPr>
        <w:ilvl w:val="0"/>
        <w:numId w:val="14"/>
      </w:numPr>
      <w:outlineLvl w:val="9"/>
    </w:pPr>
    <w:rPr>
      <w:b/>
    </w:rPr>
  </w:style>
  <w:style w:type="paragraph" w:styleId="Heading37">
    <w:name w:val="Heading 37"/>
    <w:basedOn w:val="Heading2"/>
    <w:qFormat/>
    <w:pPr>
      <w:numPr>
        <w:ilvl w:val="0"/>
        <w:numId w:val="14"/>
      </w:numPr>
      <w:outlineLvl w:val="9"/>
    </w:pPr>
    <w:rPr>
      <w:b/>
    </w:rPr>
  </w:style>
  <w:style w:type="paragraph" w:styleId="Heading38">
    <w:name w:val="Heading 38"/>
    <w:basedOn w:val="Heading2"/>
    <w:qFormat/>
    <w:pPr>
      <w:numPr>
        <w:ilvl w:val="0"/>
        <w:numId w:val="14"/>
      </w:numPr>
      <w:outlineLvl w:val="9"/>
    </w:pPr>
    <w:rPr>
      <w:b/>
    </w:rPr>
  </w:style>
  <w:style w:type="paragraph" w:styleId="Heading39">
    <w:name w:val="Heading 39"/>
    <w:basedOn w:val="Heading2"/>
    <w:qFormat/>
    <w:pPr>
      <w:numPr>
        <w:ilvl w:val="0"/>
        <w:numId w:val="14"/>
      </w:numPr>
      <w:outlineLvl w:val="9"/>
    </w:pPr>
    <w:rPr>
      <w:b/>
    </w:rPr>
  </w:style>
  <w:style w:type="paragraph" w:styleId="Heading41">
    <w:name w:val="Heading 41"/>
    <w:basedOn w:val="Heading2"/>
    <w:qFormat/>
    <w:pPr>
      <w:numPr>
        <w:ilvl w:val="0"/>
        <w:numId w:val="15"/>
      </w:numPr>
      <w:outlineLvl w:val="9"/>
    </w:pPr>
    <w:rPr>
      <w:b/>
    </w:rPr>
  </w:style>
  <w:style w:type="paragraph" w:styleId="Heading42">
    <w:name w:val="Heading 42"/>
    <w:basedOn w:val="Heading2"/>
    <w:qFormat/>
    <w:pPr>
      <w:numPr>
        <w:ilvl w:val="0"/>
        <w:numId w:val="15"/>
      </w:numPr>
      <w:outlineLvl w:val="9"/>
    </w:pPr>
    <w:rPr>
      <w:b/>
    </w:rPr>
  </w:style>
  <w:style w:type="paragraph" w:styleId="Heading43">
    <w:name w:val="Heading 43"/>
    <w:basedOn w:val="Heading2"/>
    <w:qFormat/>
    <w:pPr>
      <w:numPr>
        <w:ilvl w:val="0"/>
        <w:numId w:val="15"/>
      </w:numPr>
      <w:outlineLvl w:val="9"/>
    </w:pPr>
    <w:rPr>
      <w:b/>
    </w:rPr>
  </w:style>
  <w:style w:type="paragraph" w:styleId="Heading44">
    <w:name w:val="Heading 44"/>
    <w:basedOn w:val="Heading2"/>
    <w:qFormat/>
    <w:pPr>
      <w:numPr>
        <w:ilvl w:val="0"/>
        <w:numId w:val="15"/>
      </w:numPr>
      <w:outlineLvl w:val="9"/>
    </w:pPr>
    <w:rPr>
      <w:b/>
    </w:rPr>
  </w:style>
  <w:style w:type="paragraph" w:styleId="Heading45">
    <w:name w:val="Heading 45"/>
    <w:basedOn w:val="Heading2"/>
    <w:qFormat/>
    <w:pPr>
      <w:numPr>
        <w:ilvl w:val="0"/>
        <w:numId w:val="15"/>
      </w:numPr>
      <w:outlineLvl w:val="9"/>
    </w:pPr>
    <w:rPr>
      <w:b/>
    </w:rPr>
  </w:style>
  <w:style w:type="paragraph" w:styleId="Heading46">
    <w:name w:val="Heading 46"/>
    <w:basedOn w:val="Heading2"/>
    <w:qFormat/>
    <w:pPr>
      <w:numPr>
        <w:ilvl w:val="0"/>
        <w:numId w:val="15"/>
      </w:numPr>
      <w:outlineLvl w:val="9"/>
    </w:pPr>
    <w:rPr>
      <w:b/>
    </w:rPr>
  </w:style>
  <w:style w:type="paragraph" w:styleId="Heading47">
    <w:name w:val="Heading 47"/>
    <w:basedOn w:val="Heading2"/>
    <w:qFormat/>
    <w:pPr>
      <w:numPr>
        <w:ilvl w:val="0"/>
        <w:numId w:val="15"/>
      </w:numPr>
      <w:outlineLvl w:val="9"/>
    </w:pPr>
    <w:rPr>
      <w:b/>
    </w:rPr>
  </w:style>
  <w:style w:type="paragraph" w:styleId="Heading48">
    <w:name w:val="Heading 48"/>
    <w:basedOn w:val="Heading2"/>
    <w:qFormat/>
    <w:pPr>
      <w:numPr>
        <w:ilvl w:val="0"/>
        <w:numId w:val="15"/>
      </w:numPr>
      <w:outlineLvl w:val="9"/>
    </w:pPr>
    <w:rPr>
      <w:b/>
    </w:rPr>
  </w:style>
  <w:style w:type="paragraph" w:styleId="Heading49">
    <w:name w:val="Heading 49"/>
    <w:basedOn w:val="Heading2"/>
    <w:qFormat/>
    <w:pPr>
      <w:numPr>
        <w:ilvl w:val="0"/>
        <w:numId w:val="15"/>
      </w:numPr>
      <w:outlineLvl w:val="9"/>
    </w:pPr>
    <w:rPr>
      <w:b/>
    </w:rPr>
  </w:style>
  <w:style w:type="paragraph" w:styleId="Heading51">
    <w:name w:val="Heading 51"/>
    <w:basedOn w:val="Heading2"/>
    <w:qFormat/>
    <w:pPr>
      <w:numPr>
        <w:ilvl w:val="0"/>
        <w:numId w:val="16"/>
      </w:numPr>
      <w:outlineLvl w:val="9"/>
    </w:pPr>
    <w:rPr>
      <w:b/>
    </w:rPr>
  </w:style>
  <w:style w:type="paragraph" w:styleId="Heading52">
    <w:name w:val="Heading 52"/>
    <w:basedOn w:val="Normal"/>
    <w:qFormat/>
    <w:pPr>
      <w:widowControl/>
      <w:numPr>
        <w:ilvl w:val="0"/>
        <w:numId w:val="16"/>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Heading53">
    <w:name w:val="Heading 53"/>
    <w:basedOn w:val="Heading2"/>
    <w:qFormat/>
    <w:pPr>
      <w:numPr>
        <w:ilvl w:val="0"/>
        <w:numId w:val="16"/>
      </w:numPr>
      <w:outlineLvl w:val="9"/>
    </w:pPr>
    <w:rPr>
      <w:b/>
    </w:rPr>
  </w:style>
  <w:style w:type="paragraph" w:styleId="Heading54">
    <w:name w:val="Heading 54"/>
    <w:basedOn w:val="Heading2"/>
    <w:qFormat/>
    <w:pPr>
      <w:numPr>
        <w:ilvl w:val="0"/>
        <w:numId w:val="16"/>
      </w:numPr>
      <w:outlineLvl w:val="9"/>
    </w:pPr>
    <w:rPr>
      <w:b/>
    </w:rPr>
  </w:style>
  <w:style w:type="paragraph" w:styleId="Heading55">
    <w:name w:val="Heading 55"/>
    <w:basedOn w:val="Heading2"/>
    <w:qFormat/>
    <w:pPr>
      <w:numPr>
        <w:ilvl w:val="0"/>
        <w:numId w:val="16"/>
      </w:numPr>
      <w:outlineLvl w:val="9"/>
    </w:pPr>
    <w:rPr>
      <w:b/>
    </w:rPr>
  </w:style>
  <w:style w:type="paragraph" w:styleId="Heading56">
    <w:name w:val="Heading 56"/>
    <w:basedOn w:val="Heading2"/>
    <w:qFormat/>
    <w:pPr>
      <w:numPr>
        <w:ilvl w:val="0"/>
        <w:numId w:val="16"/>
      </w:numPr>
      <w:outlineLvl w:val="9"/>
    </w:pPr>
    <w:rPr>
      <w:b/>
    </w:rPr>
  </w:style>
  <w:style w:type="paragraph" w:styleId="Heading57">
    <w:name w:val="Heading 57"/>
    <w:basedOn w:val="Heading2"/>
    <w:qFormat/>
    <w:pPr>
      <w:numPr>
        <w:ilvl w:val="0"/>
        <w:numId w:val="16"/>
      </w:numPr>
      <w:outlineLvl w:val="9"/>
    </w:pPr>
    <w:rPr>
      <w:b/>
    </w:rPr>
  </w:style>
  <w:style w:type="paragraph" w:styleId="Heading58">
    <w:name w:val="Heading 58"/>
    <w:basedOn w:val="Heading2"/>
    <w:qFormat/>
    <w:pPr>
      <w:numPr>
        <w:ilvl w:val="0"/>
        <w:numId w:val="16"/>
      </w:numPr>
      <w:outlineLvl w:val="9"/>
    </w:pPr>
    <w:rPr>
      <w:b/>
    </w:rPr>
  </w:style>
  <w:style w:type="paragraph" w:styleId="Heading59">
    <w:name w:val="Heading 59"/>
    <w:basedOn w:val="Heading2"/>
    <w:qFormat/>
    <w:pPr>
      <w:numPr>
        <w:ilvl w:val="0"/>
        <w:numId w:val="16"/>
      </w:numPr>
      <w:outlineLvl w:val="9"/>
    </w:pPr>
    <w:rPr>
      <w:b/>
    </w:rPr>
  </w:style>
  <w:style w:type="paragraph" w:styleId="LetterhdFont">
    <w:name w:val="LetterhdFont"/>
    <w:basedOn w:val="Normal"/>
    <w:next w:val="Normal"/>
    <w:qFormat/>
    <w:pPr>
      <w:widowControl/>
      <w:jc w:val="end"/>
    </w:pPr>
    <w:rPr>
      <w:rFonts w:ascii="Garamond" w:hAnsi="Garamond" w:cs="Garamond"/>
      <w:sz w:val="18"/>
    </w:rPr>
  </w:style>
  <w:style w:type="paragraph" w:styleId="LetterHeadAtt">
    <w:name w:val="LetterHeadAtt"/>
    <w:basedOn w:val="Header"/>
    <w:next w:val="Normal"/>
    <w:qFormat/>
    <w:pPr>
      <w:widowControl/>
      <w:tabs>
        <w:tab w:val="clear" w:pos="4320"/>
        <w:tab w:val="clear" w:pos="8640"/>
      </w:tabs>
      <w:jc w:val="center"/>
    </w:pPr>
    <w:rPr>
      <w:rFonts w:ascii="Garamond" w:hAnsi="Garamond" w:cs="Garamond"/>
      <w:smallCaps/>
      <w:sz w:val="18"/>
    </w:rPr>
  </w:style>
  <w:style w:type="paragraph" w:styleId="LetterHeaderAddress">
    <w:name w:val="LetterHeaderAddress"/>
    <w:basedOn w:val="Header"/>
    <w:next w:val="Normal"/>
    <w:qFormat/>
    <w:pPr>
      <w:widowControl/>
      <w:tabs>
        <w:tab w:val="clear" w:pos="4320"/>
        <w:tab w:val="clear" w:pos="8640"/>
      </w:tabs>
    </w:pPr>
    <w:rPr>
      <w:rFonts w:ascii="Garamond" w:hAnsi="Garamond" w:cs="Garamond"/>
      <w:smallCaps/>
      <w:sz w:val="18"/>
    </w:rPr>
  </w:style>
  <w:style w:type="paragraph" w:styleId="LetterHeaderEmail">
    <w:name w:val="LetterHeaderEmail"/>
    <w:basedOn w:val="LetterHeaderAddress"/>
    <w:next w:val="Normal"/>
    <w:qFormat/>
    <w:pPr>
      <w:jc w:val="end"/>
    </w:pPr>
    <w:rPr>
      <w:caps w:val="false"/>
      <w:smallCaps w:val="false"/>
    </w:rPr>
  </w:style>
  <w:style w:type="paragraph" w:styleId="LetterHeadPhone">
    <w:name w:val="LetterHeadPhone"/>
    <w:basedOn w:val="LetterHeaderAddress"/>
    <w:next w:val="Normal"/>
    <w:qFormat/>
    <w:pPr>
      <w:jc w:val="end"/>
    </w:pPr>
    <w:rPr>
      <w:caps w:val="false"/>
      <w:smallCaps w:val="false"/>
    </w:rPr>
  </w:style>
  <w:style w:type="paragraph" w:styleId="LetterHeadName">
    <w:name w:val="LetterHeadName"/>
    <w:basedOn w:val="LetterHeaderAddress"/>
    <w:next w:val="Normal"/>
    <w:qFormat/>
    <w:pPr>
      <w:jc w:val="center"/>
    </w:pPr>
    <w:rPr>
      <w:spacing w:val="12"/>
      <w:sz w:val="46"/>
    </w:rPr>
  </w:style>
  <w:style w:type="paragraph" w:styleId="LetterhdWeb">
    <w:name w:val="LetterhdWeb"/>
    <w:basedOn w:val="LetterHeadPhone"/>
    <w:next w:val="Normal"/>
    <w:qFormat/>
    <w:pPr/>
    <w:rPr/>
  </w:style>
  <w:style w:type="paragraph" w:styleId="BodyTextFirstIndent">
    <w:name w:val="Body Text First Indent"/>
    <w:basedOn w:val="BodyText"/>
    <w:qFormat/>
    <w:pPr>
      <w:spacing w:before="0" w:after="240"/>
      <w:ind w:firstLine="1440" w:start="0" w:end="0"/>
    </w:pPr>
    <w:rPr/>
  </w:style>
  <w:style w:type="paragraph" w:styleId="CommentText">
    <w:name w:val="Comment Text"/>
    <w:basedOn w:val="Normal"/>
    <w:qFormat/>
    <w:pPr/>
    <w:rPr>
      <w:sz w:val="20"/>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17"/>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3"/>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tabs>
        <w:tab w:val="clear" w:pos="720"/>
        <w:tab w:val="right" w:pos="9360" w:leader="none"/>
      </w:tabs>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FirstIndent1">
    <w:name w:val="Body Text First  Indent"/>
    <w:basedOn w:val="Normal"/>
    <w:qFormat/>
    <w:pPr>
      <w:spacing w:before="0" w:after="240"/>
      <w:ind w:firstLine="720" w:start="0" w:end="0"/>
      <w:jc w:val="both"/>
    </w:pPr>
    <w:rPr>
      <w:b/>
    </w:rPr>
  </w:style>
  <w:style w:type="paragraph" w:styleId="BodyTextIndent">
    <w:name w:val="Body Text Indent"/>
    <w:basedOn w:val="Normal"/>
    <w:pPr>
      <w:ind w:hanging="0" w:start="1872" w:end="0"/>
    </w:pPr>
    <w:rPr/>
  </w:style>
  <w:style w:type="paragraph" w:styleId="BlockText">
    <w:name w:val="Block Text"/>
    <w:basedOn w:val="Normal"/>
    <w:qFormat/>
    <w:pPr>
      <w:spacing w:before="0" w:after="120"/>
      <w:ind w:hanging="0" w:start="1440" w:end="14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2001-02-13T20:01:00Z</dcterms:created>
  <dc:creator>CMS Energy</dc:creator>
  <dc:description/>
  <dc:language>en-CA</dc:language>
  <cp:lastModifiedBy>sdaniel</cp:lastModifiedBy>
  <cp:lastPrinted>2000-09-19T15:21:00Z</cp:lastPrinted>
  <dcterms:modified xsi:type="dcterms:W3CDTF">2001-02-13T20:18:00Z</dcterms:modified>
  <cp:revision>6</cp:revision>
  <dc:subject/>
  <dc:title>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01-Dec-1999</vt:lpwstr>
  </property>
  <property fmtid="{D5CDD505-2E9C-101B-9397-08002B2CF9AE}" pid="3" name="Converted State">
    <vt:lpwstr>True</vt:lpwstr>
  </property>
  <property fmtid="{D5CDD505-2E9C-101B-9397-08002B2CF9AE}" pid="4" name="Original File">
    <vt:lpwstr>C:\WINDOWS\TEMP\Psa-4.doc</vt:lpwstr>
  </property>
  <property fmtid="{D5CDD505-2E9C-101B-9397-08002B2CF9AE}" pid="5" name="WPClean Version">
    <vt:lpwstr>1.8.5.1</vt:lpwstr>
  </property>
</Properties>
</file>