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sz w:val="20"/>
          <w:szCs w:val="20"/>
        </w:rPr>
        <w:drawing>
          <wp:inline distT="0" distB="0" distL="0" distR="0">
            <wp:extent cx="99441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  <w:tab/>
        <w:tab/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To"/>
              <w:rPr/>
            </w:pPr>
            <w:r>
              <w:rPr/>
              <w:t>Mark Taylor</w:t>
            </w:r>
          </w:p>
        </w:tc>
        <w:tc>
          <w:tcPr>
            <w:tcW w:w="9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From"/>
              <w:rPr/>
            </w:pPr>
            <w:r>
              <w:rPr/>
              <w:t>Mark L. Greenberg</w:t>
            </w:r>
          </w:p>
        </w:tc>
        <w:tc>
          <w:tcPr>
            <w:tcW w:w="9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65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EWS - Legal</w:t>
            </w:r>
          </w:p>
        </w:tc>
      </w:tr>
      <w:tr>
        <w:trPr>
          <w:trHeight w:val="216" w:hRule="exact"/>
        </w:trPr>
        <w:tc>
          <w:tcPr>
            <w:tcW w:w="70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top w:val="dashed" w:sz="6" w:space="0" w:color="auto"/>
              <w:start w:val="dashed" w:sz="6" w:space="0" w:color="auto"/>
              <w:bottom w:val="single" w:sz="12" w:space="0" w:color="000000"/>
              <w:end w:val="dashed" w:sz="6" w:space="0" w:color="auto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>
              <w:top w:val="dashed" w:sz="6" w:space="0" w:color="auto"/>
              <w:start w:val="dashed" w:sz="6" w:space="0" w:color="auto"/>
              <w:bottom w:val="single" w:sz="12" w:space="0" w:color="000000"/>
              <w:end w:val="dashed" w:sz="6" w:space="0" w:color="auto"/>
            </w:tcBorders>
          </w:tcPr>
          <w:p>
            <w:pPr>
              <w:pStyle w:val="Subject"/>
              <w:rPr/>
            </w:pPr>
            <w:bookmarkStart w:id="1" w:name="tSubject"/>
            <w:bookmarkEnd w:id="1"/>
            <w:r>
              <w:rPr/>
              <w:t>Project Status Update</w:t>
            </w:r>
          </w:p>
        </w:tc>
        <w:tc>
          <w:tcPr>
            <w:tcW w:w="990" w:type="dxa"/>
            <w:tcBorders>
              <w:top w:val="dashed" w:sz="6" w:space="0" w:color="auto"/>
              <w:start w:val="dashed" w:sz="6" w:space="0" w:color="auto"/>
              <w:bottom w:val="single" w:sz="12" w:space="0" w:color="000000"/>
              <w:end w:val="dashed" w:sz="6" w:space="0" w:color="auto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65" w:type="dxa"/>
            <w:tcBorders>
              <w:top w:val="dashed" w:sz="6" w:space="0" w:color="auto"/>
              <w:start w:val="dashed" w:sz="6" w:space="0" w:color="auto"/>
              <w:bottom w:val="single" w:sz="12" w:space="0" w:color="000000"/>
              <w:end w:val="dashed" w:sz="6" w:space="0" w:color="auto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</w:r>
      <w:bookmarkStart w:id="2" w:name="StartOfMemo"/>
      <w:bookmarkStart w:id="3" w:name="StartOfMemo"/>
      <w:bookmarkEnd w:id="3"/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>Mark –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>Below are the general projects I am currently working on and the basic status of same.  If you need more details, please let me know.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>Net Works: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 xml:space="preserve">CommodityLogic – </w:t>
        <w:tab/>
        <w:t>Working on documentation for all modules and general site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ab/>
        <w:tab/>
        <w:tab/>
        <w:t>Working with V&amp;E on trademark reviews and applications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ab/>
        <w:tab/>
        <w:tab/>
        <w:t>Continuing discussions with Legal to ensure ConfirmLogic is workable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ab/>
        <w:tab/>
        <w:tab/>
        <w:tab/>
        <w:t>for Enron Dave –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>Clickpaper.com</w:t>
        <w:tab/>
        <w:t>-</w:t>
        <w:tab/>
        <w:t xml:space="preserve">Working on Information Services Agreement with Forestweb – inclusive of 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ab/>
        <w:tab/>
        <w:tab/>
        <w:tab/>
        <w:t xml:space="preserve">continued streaming of industry news and placement of advertising on 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ab/>
        <w:tab/>
        <w:tab/>
        <w:tab/>
        <w:t>site by CP (microsite)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ab/>
        <w:tab/>
        <w:tab/>
        <w:t xml:space="preserve">Recently completed a Linking Agreement with Paperloop.com for CP microsite 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ab/>
        <w:tab/>
        <w:tab/>
        <w:tab/>
        <w:t xml:space="preserve">and currently working on Paperloop press release concerning the 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ab/>
        <w:tab/>
        <w:tab/>
        <w:tab/>
        <w:t>CP/Paperloop relationship (coordinating efforts with Enron PR)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ab/>
        <w:tab/>
        <w:tab/>
        <w:t>Review of documentation in relation to microsite with VerticalNet – not sure CP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ab/>
        <w:tab/>
        <w:tab/>
        <w:tab/>
        <w:t>will end up doing deal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 xml:space="preserve">Third Party Platforms- </w:t>
        <w:tab/>
        <w:t xml:space="preserve">Working on documentation for TrueQuote, HoustonStreet, TradeSpark, 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ab/>
        <w:tab/>
        <w:tab/>
        <w:tab/>
        <w:t>Dynegydirect (addition of products – emissions and coal)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ab/>
        <w:tab/>
        <w:tab/>
        <w:t xml:space="preserve">Have requests to look at e-Carbon, NatsourceDirect, APX (for power out of 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ab/>
        <w:tab/>
        <w:tab/>
        <w:tab/>
        <w:t>Portland), Vector Pipeline and Networkoil.com (a equipment sale site)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 xml:space="preserve">BrokerClient - </w:t>
        <w:tab/>
        <w:tab/>
        <w:t>Working with Bob Shults on finalizing BETA’s and Fee Agreements with Prebon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ab/>
        <w:tab/>
        <w:tab/>
        <w:tab/>
        <w:t>Energy, Inc. and APB/TrueQuote.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ab/>
        <w:tab/>
        <w:tab/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 xml:space="preserve">EnronOnline - </w:t>
        <w:tab/>
        <w:tab/>
        <w:t xml:space="preserve">Have comments to PA and ETA from Deutsche Bank (following the signing of the 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ab/>
        <w:tab/>
        <w:tab/>
        <w:tab/>
        <w:t>ISDA with Enron) and Worthington Industries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ab/>
        <w:tab/>
        <w:tab/>
        <w:tab/>
        <w:t>Various NDA’s for all NW groups (working with Tana)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  <w:t>There are various other matters I am working on but these are the ones taking most of my time.</w:t>
      </w:r>
    </w:p>
    <w:p>
      <w:pPr>
        <w:pStyle w:val="CopyList"/>
        <w:tabs>
          <w:tab w:val="clear" w:pos="504"/>
          <w:tab w:val="left" w:pos="-1260" w:leader="none"/>
          <w:tab w:val="left" w:pos="1440" w:leader="none"/>
        </w:tabs>
        <w:spacing w:before="0" w:after="0"/>
        <w:ind w:hanging="0" w:start="0" w:end="0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szCs w:val="12"/>
      </w:rPr>
    </w:pPr>
    <w:r>
      <w:rPr>
        <w:sz w:val="12"/>
        <w:szCs w:val="12"/>
      </w:rPr>
      <w:t>O:\LEGAL\AARONOWI\MEMOS\MEMO998</w:t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bCs/>
        <w:sz w:val="16"/>
        <w:szCs w:val="16"/>
      </w:rPr>
    </w:pPr>
    <w:r>
      <w:rPr>
        <w:b/>
        <w:bCs/>
        <w:sz w:val="16"/>
        <w:szCs w:val="16"/>
      </w:rPr>
      <w:tab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bCs/>
        <w:sz w:val="16"/>
        <w:szCs w:val="16"/>
      </w:rPr>
    </w:pPr>
    <w:r>
      <w:rPr>
        <w:b/>
        <w:bCs/>
        <w:sz w:val="16"/>
        <w:szCs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\p </w:instrText>
    </w:r>
    <w:r>
      <w:rPr>
        <w:sz w:val="12"/>
        <w:szCs w:val="12"/>
      </w:rPr>
      <w:fldChar w:fldCharType="separate"/>
    </w:r>
    <w:r>
      <w:rPr>
        <w:sz w:val="12"/>
        <w:szCs w:val="12"/>
      </w:rPr>
      <w:t>/mnt/main-storage/datasets/enron-docs/doc/memo_mtaylor_3_29_01_.doc</w:t>
    </w:r>
    <w:r>
      <w:rPr>
        <w:sz w:val="12"/>
        <w:szCs w:val="12"/>
      </w:rPr>
      <w:fldChar w:fldCharType="end"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2559050</wp:posOffset>
              </wp:positionH>
              <wp:positionV relativeFrom="paragraph">
                <wp:posOffset>635</wp:posOffset>
              </wp:positionV>
              <wp:extent cx="3877310" cy="93980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939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74pt;mso-wrap-distance-left:9.35pt;mso-wrap-distance-right:9.35pt;mso-wrap-distance-top:0pt;mso-wrap-distance-bottom:0pt;margin-top:0.05pt;mso-position-vertical-relative:text;margin-left:201.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2001-03-29T12:30:00Z</dcterms:created>
  <dc:creator>Enron</dc:creator>
  <dc:description/>
  <dc:language>en-CA</dc:language>
  <cp:lastModifiedBy>mgreenbe</cp:lastModifiedBy>
  <cp:lastPrinted>2001-03-29T09:14:00Z</cp:lastPrinted>
  <dcterms:modified xsi:type="dcterms:W3CDTF">2001-03-29T12:44:00Z</dcterms:modified>
  <cp:revision>4</cp:revision>
  <dc:subject>The Subject of the Memo</dc:subject>
  <dc:title>Eron Capital &amp; Trade Resources Memo</dc:title>
</cp:coreProperties>
</file>