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17221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172210"/>
                        </a:xfrm>
                        <a:prstGeom prst="rect"/>
                        <a:solidFill>
                          <a:srgbClr val="FFFFFF">
                            <a:alpha val="0"/>
                          </a:srgbClr>
                        </a:solidFill>
                      </wps:spPr>
                      <wps:txbx>
                        <w:txbxContent>
                          <w:p>
                            <w:pPr>
                              <w:pStyle w:val="Normal"/>
                              <w:widowControl/>
                              <w:bidi w:val="0"/>
                              <w:spacing w:before="60" w:after="60"/>
                              <w:rPr/>
                            </w:pPr>
                            <w:r>
                              <w:rPr/>
                            </w:r>
                          </w:p>
                          <w:p>
                            <w:pPr>
                              <w:pStyle w:val="Normal"/>
                              <w:rPr/>
                            </w:pPr>
                            <w:r>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txbxContent>
                      </wps:txbx>
                      <wps:bodyPr anchor="t" lIns="0" tIns="0" rIns="0" bIns="0">
                        <a:noAutofit/>
                      </wps:bodyPr>
                    </wps:wsp>
                  </a:graphicData>
                </a:graphic>
              </wp:anchor>
            </w:drawing>
          </mc:Choice>
          <mc:Fallback>
            <w:pict>
              <v:rect fillcolor="#FFFFFF" style="position:absolute;rotation:-0;width:300.8pt;height:92.3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r>
                    </w:p>
                    <w:p>
                      <w:pPr>
                        <w:pStyle w:val="Normal"/>
                        <w:rPr/>
                      </w:pPr>
                      <w:r>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8748" w:type="dxa"/>
            <w:gridSpan w:val="2"/>
            <w:tcBorders/>
          </w:tcPr>
          <w:p>
            <w:pPr>
              <w:pStyle w:val="To"/>
              <w:spacing w:before="60" w:after="60"/>
              <w:rPr>
                <w:rFonts w:ascii="Arial" w:hAnsi="Arial" w:cs="Arial"/>
              </w:rPr>
            </w:pPr>
            <w:r>
              <w:drawing>
                <wp:anchor behindDoc="0" distT="0" distB="0" distL="114935" distR="114935" simplePos="0" locked="0" layoutInCell="0" allowOverlap="1" relativeHeight="3">
                  <wp:simplePos x="0" y="0"/>
                  <wp:positionH relativeFrom="margin">
                    <wp:posOffset>-91440</wp:posOffset>
                  </wp:positionH>
                  <wp:positionV relativeFrom="paragraph">
                    <wp:posOffset>-146050</wp:posOffset>
                  </wp:positionV>
                  <wp:extent cx="1645920" cy="144145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5" t="-28" r="-25" b="-28"/>
                          <a:stretch>
                            <a:fillRect/>
                          </a:stretch>
                        </pic:blipFill>
                        <pic:spPr bwMode="auto">
                          <a:xfrm>
                            <a:off x="0" y="0"/>
                            <a:ext cx="1645920" cy="1441450"/>
                          </a:xfrm>
                          <a:prstGeom prst="rect">
                            <a:avLst/>
                          </a:prstGeom>
                          <a:noFill/>
                        </pic:spPr>
                      </pic:pic>
                    </a:graphicData>
                  </a:graphic>
                </wp:anchor>
              </w:drawing>
            </w:r>
            <w:r>
              <w:rPr>
                <w:rFonts w:cs="Arial" w:ascii="Arial" w:hAnsi="Arial"/>
                <w:b/>
                <w:sz w:val="24"/>
              </w:rPr>
              <w:t>Interoffice Memo</w:t>
            </w:r>
          </w:p>
        </w:tc>
      </w:tr>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All Enron India Employees</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Sanjay Bhatnagar</w:t>
            </w:r>
          </w:p>
          <w:p>
            <w:pPr>
              <w:pStyle w:val="From"/>
              <w:spacing w:before="60" w:after="60"/>
              <w:rPr>
                <w:rFonts w:ascii="Arial" w:hAnsi="Arial" w:cs="Arial"/>
              </w:rPr>
            </w:pPr>
            <w:r>
              <w:rPr>
                <w:rFonts w:cs="Arial" w:ascii="Arial" w:hAnsi="Arial"/>
              </w:rPr>
              <w:t>Wade Cline</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February 17, 2000</w:t>
            </w:r>
          </w:p>
        </w:tc>
      </w:tr>
      <w:tr>
        <w:trPr/>
        <w:tc>
          <w:tcPr>
            <w:tcW w:w="1188" w:type="dxa"/>
            <w:tcBorders/>
          </w:tcPr>
          <w:p>
            <w:pPr>
              <w:pStyle w:val="Normal"/>
              <w:spacing w:before="60" w:after="60"/>
              <w:rPr>
                <w:rFonts w:ascii="Arial" w:hAnsi="Arial" w:cs="Arial"/>
              </w:rPr>
            </w:pPr>
            <w:r>
              <w:rPr>
                <w:rFonts w:cs="Arial" w:ascii="Arial" w:hAnsi="Arial"/>
                <w:b/>
              </w:rPr>
              <w:t>Subject:</w:t>
            </w:r>
          </w:p>
        </w:tc>
        <w:tc>
          <w:tcPr>
            <w:tcW w:w="7560" w:type="dxa"/>
            <w:tcBorders/>
          </w:tcPr>
          <w:p>
            <w:pPr>
              <w:pStyle w:val="Subject"/>
              <w:spacing w:before="60" w:after="60"/>
              <w:rPr>
                <w:rFonts w:ascii="Arial" w:hAnsi="Arial" w:cs="Arial"/>
              </w:rPr>
            </w:pPr>
            <w:bookmarkStart w:id="2" w:name="Subject"/>
            <w:bookmarkEnd w:id="2"/>
            <w:r>
              <w:rPr>
                <w:rFonts w:cs="Arial" w:ascii="Arial" w:hAnsi="Arial"/>
              </w:rPr>
              <w:t>Year 2000 Focus</w:t>
            </w:r>
          </w:p>
        </w:tc>
      </w:tr>
      <w:tr>
        <w:trPr/>
        <w:tc>
          <w:tcPr>
            <w:tcW w:w="1188" w:type="dxa"/>
            <w:tcBorders>
              <w:bottom w:val="single" w:sz="18" w:space="0" w:color="000000"/>
            </w:tcBorders>
          </w:tcPr>
          <w:p>
            <w:pPr>
              <w:pStyle w:val="Normal"/>
              <w:snapToGrid w:val="false"/>
              <w:spacing w:before="60" w:after="60"/>
              <w:rPr>
                <w:rFonts w:ascii="Arial" w:hAnsi="Arial" w:cs="Arial"/>
                <w:b/>
              </w:rPr>
            </w:pPr>
            <w:r>
              <w:rPr>
                <w:rFonts w:cs="Arial" w:ascii="Arial" w:hAnsi="Arial"/>
                <w:b/>
              </w:rPr>
            </w:r>
          </w:p>
        </w:tc>
        <w:tc>
          <w:tcPr>
            <w:tcW w:w="7560" w:type="dxa"/>
            <w:tcBorders>
              <w:bottom w:val="single" w:sz="18" w:space="0" w:color="000000"/>
            </w:tcBorders>
          </w:tcPr>
          <w:p>
            <w:pPr>
              <w:pStyle w:val="Subject"/>
              <w:snapToGrid w:val="false"/>
              <w:spacing w:before="60" w:after="60"/>
              <w:rPr>
                <w:rFonts w:ascii="Arial" w:hAnsi="Arial" w:cs="Arial"/>
                <w:b/>
              </w:rPr>
            </w:pPr>
            <w:r>
              <w:rPr>
                <w:rFonts w:cs="Arial" w:ascii="Arial" w:hAnsi="Arial"/>
                <w:b/>
              </w:rPr>
            </w:r>
          </w:p>
        </w:tc>
      </w:tr>
    </w:tbl>
    <w:p>
      <w:pPr>
        <w:pStyle w:val="BodyText"/>
        <w:rPr/>
      </w:pPr>
      <w:r>
        <w:rPr/>
        <w:tab/>
      </w:r>
    </w:p>
    <w:p>
      <w:pPr>
        <w:pStyle w:val="BodyText"/>
        <w:rPr/>
      </w:pPr>
      <w:r>
        <w:rPr/>
      </w:r>
    </w:p>
    <w:p>
      <w:pPr>
        <w:pStyle w:val="BodyText"/>
        <w:rPr/>
      </w:pPr>
      <w:r>
        <w:rPr/>
        <w:t xml:space="preserve">As we at Enron India continue our efforts in 2000 to </w:t>
      </w:r>
      <w:r>
        <w:rPr>
          <w:color w:val="000000"/>
        </w:rPr>
        <w:t>serve our customers as the leading provider of integrated solutions in energy and communications</w:t>
      </w:r>
      <w:r>
        <w:rPr/>
        <w:t>, we want to remind you what a great year we had in 1999 and the opportunities and challenges that lie ahead in 2000.</w:t>
      </w:r>
    </w:p>
    <w:p>
      <w:pPr>
        <w:pStyle w:val="Heading4"/>
        <w:ind w:hanging="0" w:start="0"/>
        <w:rPr/>
      </w:pPr>
      <w:r>
        <w:rPr/>
      </w:r>
    </w:p>
    <w:p>
      <w:pPr>
        <w:pStyle w:val="Heading4"/>
        <w:ind w:hanging="0" w:start="0"/>
        <w:rPr/>
      </w:pPr>
      <w:r>
        <w:rPr/>
        <w:t>1999 Review</w:t>
      </w:r>
    </w:p>
    <w:p>
      <w:pPr>
        <w:pStyle w:val="Normal"/>
        <w:rPr>
          <w:sz w:val="24"/>
        </w:rPr>
      </w:pPr>
      <w:r>
        <w:rPr>
          <w:sz w:val="24"/>
        </w:rPr>
      </w:r>
    </w:p>
    <w:p>
      <w:pPr>
        <w:pStyle w:val="Normal"/>
        <w:rPr>
          <w:sz w:val="24"/>
        </w:rPr>
      </w:pPr>
      <w:r>
        <w:rPr>
          <w:sz w:val="24"/>
        </w:rPr>
        <w:t xml:space="preserve">1999 was a great year for Enron India. We started strong and finished stronger. At the end of 1998, Enron and the 2 minority sponsors of Dabhol Power (Bechtel and GE) demonstrated their confidence in DPC Phase II by starting construction on the LNG facilities, a full 6 months in advance of financial close. This key decision allowed DPC, Enron and our Metgas Pipeline to have a huge advantage by having access to the first LNG terminal in India, which allows LNG to be delivered to DPC in late 2001 and to Metgas in mid-2002. In February, Enron gave Notice to Proceed on the MV Laxmi, allowing construction to begin on this LNG vessel that is owned jointly by Mitsui, Enron and Shipping Corporation of India. We followed this with 3 accomplishments heralded around the world. On May 6, Dabhol Phase II reached financial closure and the final NTP was given to the construction contractors. Secondly, we helped Enron’s finance and LNG teams close the first-ever project financing of an LNG vessel. Both financings have been recognized worldwide for their creativity, innovativeness and success, and Enron has received more than 10 international awards for these financings. Thirdly, on May 13, Dabhol Phase I went into commercial operations. This was a major accomplishment for the combined teams of DPC, OPO (Enron’s operator at DPC) and Enron India, and foretold many positive things to come, not the least of which was revenue from MSEB. </w:t>
      </w:r>
    </w:p>
    <w:p>
      <w:pPr>
        <w:pStyle w:val="Normal"/>
        <w:rPr>
          <w:sz w:val="24"/>
        </w:rPr>
      </w:pPr>
      <w:r>
        <w:rPr>
          <w:sz w:val="24"/>
        </w:rPr>
      </w:r>
    </w:p>
    <w:p>
      <w:pPr>
        <w:pStyle w:val="Normal"/>
        <w:rPr/>
      </w:pPr>
      <w:r>
        <w:rPr>
          <w:sz w:val="24"/>
        </w:rPr>
        <w:t>Not willing to stand still on these monumental accomplishments, we continued to push forward. In October, OPO set a world record by changing out a DPC rotor in only 12 days. While this is not an achievement we want to repeat often, it just shows what we can do with a top quality team focused on an objective. In November, we acquired a 5.1% interest in the Gas Authority of India Ltd., and in doing so we became the 2</w:t>
      </w:r>
      <w:r>
        <w:rPr>
          <w:sz w:val="24"/>
          <w:vertAlign w:val="superscript"/>
        </w:rPr>
        <w:t>nd</w:t>
      </w:r>
      <w:r>
        <w:rPr>
          <w:sz w:val="24"/>
        </w:rPr>
        <w:t xml:space="preserve"> largest shareholder in GAIL. We also jump-started our broadband business by joining a consortium to build and operate a fiber optic cable line from Mumbai to Delhi, plus we entered agreements with Zee Television and FLAG to further our efforts in to provide broadband services in India. It was a very busy and impressive 1999, and it was made possible because of you, the employees of Enron India.</w:t>
      </w:r>
    </w:p>
    <w:p>
      <w:pPr>
        <w:pStyle w:val="Normal"/>
        <w:rPr>
          <w:sz w:val="24"/>
        </w:rPr>
      </w:pPr>
      <w:r>
        <w:rPr>
          <w:sz w:val="24"/>
        </w:rPr>
      </w:r>
    </w:p>
    <w:p>
      <w:pPr>
        <w:pStyle w:val="Normal"/>
        <w:rPr>
          <w:b/>
          <w:sz w:val="24"/>
          <w:u w:val="single"/>
        </w:rPr>
      </w:pPr>
      <w:r>
        <w:rPr>
          <w:b/>
          <w:sz w:val="24"/>
          <w:u w:val="single"/>
        </w:rPr>
        <w:t>Enron Corp.</w:t>
      </w:r>
    </w:p>
    <w:p>
      <w:pPr>
        <w:pStyle w:val="Normal"/>
        <w:rPr>
          <w:sz w:val="24"/>
        </w:rPr>
      </w:pPr>
      <w:r>
        <w:rPr>
          <w:sz w:val="24"/>
        </w:rPr>
        <w:t>There is great news on the Enron Corp. front as well. As you might know, Enron Corp. stock last year turned in an impressive 57% growth in stock price and this year has almost doubled in the first two months of 2000. More recently, Fortune magazine named Enron as:</w:t>
      </w:r>
    </w:p>
    <w:p>
      <w:pPr>
        <w:pStyle w:val="Normal"/>
        <w:numPr>
          <w:ilvl w:val="0"/>
          <w:numId w:val="2"/>
        </w:numPr>
        <w:rPr>
          <w:sz w:val="24"/>
        </w:rPr>
      </w:pPr>
      <w:r>
        <w:rPr>
          <w:sz w:val="24"/>
        </w:rPr>
        <w:t>#1 most innovative company</w:t>
      </w:r>
    </w:p>
    <w:p>
      <w:pPr>
        <w:pStyle w:val="Normal"/>
        <w:numPr>
          <w:ilvl w:val="0"/>
          <w:numId w:val="2"/>
        </w:numPr>
        <w:rPr>
          <w:sz w:val="24"/>
        </w:rPr>
      </w:pPr>
      <w:r>
        <w:rPr>
          <w:sz w:val="24"/>
        </w:rPr>
        <w:t>#1 company in respect of its management</w:t>
      </w:r>
    </w:p>
    <w:p>
      <w:pPr>
        <w:pStyle w:val="Normal"/>
        <w:numPr>
          <w:ilvl w:val="0"/>
          <w:numId w:val="2"/>
        </w:numPr>
        <w:rPr>
          <w:sz w:val="24"/>
        </w:rPr>
      </w:pPr>
      <w:r>
        <w:rPr>
          <w:sz w:val="24"/>
        </w:rPr>
        <w:t>#2 company with respect to its talent pool</w:t>
      </w:r>
    </w:p>
    <w:p>
      <w:pPr>
        <w:pStyle w:val="Normal"/>
        <w:rPr>
          <w:sz w:val="24"/>
        </w:rPr>
      </w:pPr>
      <w:r>
        <w:rPr>
          <w:sz w:val="24"/>
        </w:rPr>
        <w:t>These are very impressive achievements and we should all be proud to work in such a company. Going forward, we cannot rest on our laurels and we need to continue to attract the best talent that we can find. As we grow, we need to inculcate in our people the culture and values that make Enron a great place to work. A key component of our business is teamwork, and we will continue to encourage and expect teamwork from everyone in every situation. It is this teamwork and respect for people that are in Enron India and Enron worldwide that will help us achieve our goals.</w:t>
      </w:r>
    </w:p>
    <w:p>
      <w:pPr>
        <w:pStyle w:val="Normal"/>
        <w:rPr>
          <w:sz w:val="24"/>
        </w:rPr>
      </w:pPr>
      <w:r>
        <w:rPr>
          <w:sz w:val="24"/>
        </w:rPr>
      </w:r>
    </w:p>
    <w:p>
      <w:pPr>
        <w:pStyle w:val="Heading4"/>
        <w:ind w:hanging="0" w:start="0"/>
        <w:rPr/>
      </w:pPr>
      <w:r>
        <w:rPr/>
        <w:t>India 2000 Strategy</w:t>
      </w:r>
    </w:p>
    <w:p>
      <w:pPr>
        <w:pStyle w:val="Heading4"/>
        <w:ind w:hanging="0" w:start="0"/>
        <w:rPr>
          <w:b w:val="false"/>
          <w:u w:val="none"/>
        </w:rPr>
      </w:pPr>
      <w:r>
        <w:rPr>
          <w:b w:val="false"/>
          <w:u w:val="none"/>
        </w:rPr>
      </w:r>
    </w:p>
    <w:p>
      <w:pPr>
        <w:pStyle w:val="Heading4"/>
        <w:ind w:hanging="0" w:start="0"/>
        <w:rPr>
          <w:b w:val="false"/>
          <w:u w:val="none"/>
        </w:rPr>
      </w:pPr>
      <w:r>
        <w:rPr>
          <w:b w:val="false"/>
          <w:u w:val="none"/>
        </w:rPr>
        <w:t>Our 2000 strategy is driven by a few key objectives. First, one thing we have learned in almost 8 years of doing business in India is the importance of FOCUSING on a single objective and dedicating ample resources to make it happen. As a result:</w:t>
      </w:r>
    </w:p>
    <w:p>
      <w:pPr>
        <w:pStyle w:val="Normal"/>
        <w:numPr>
          <w:ilvl w:val="0"/>
          <w:numId w:val="8"/>
        </w:numPr>
        <w:rPr>
          <w:sz w:val="24"/>
        </w:rPr>
      </w:pPr>
      <w:r>
        <w:rPr>
          <w:sz w:val="24"/>
        </w:rPr>
        <w:t>Firstly, we must have our people and resources focused on a very select number of important initiatives. This means we will have to reallocate resources to focus on our key efforts.</w:t>
      </w:r>
    </w:p>
    <w:p>
      <w:pPr>
        <w:pStyle w:val="Normal"/>
        <w:numPr>
          <w:ilvl w:val="0"/>
          <w:numId w:val="8"/>
        </w:numPr>
        <w:rPr>
          <w:sz w:val="24"/>
        </w:rPr>
      </w:pPr>
      <w:r>
        <w:rPr>
          <w:sz w:val="24"/>
        </w:rPr>
        <w:t xml:space="preserve">Second, Enron’s recent stock surge has resulted in our stock trading at around a 50 price to earnings multiple, a level we all want to continue and increase. To maintain this, we must ensure that we undertake projects that have good returns, fast development timetables and a structure that allows them to reach financial closure quickly. This also means that we must carefully deploy capital on our projects and look for opportunities that allow us to make net income and revenues earlier rather than later. </w:t>
      </w:r>
    </w:p>
    <w:p>
      <w:pPr>
        <w:pStyle w:val="Normal"/>
        <w:numPr>
          <w:ilvl w:val="0"/>
          <w:numId w:val="8"/>
        </w:numPr>
        <w:rPr>
          <w:sz w:val="24"/>
        </w:rPr>
      </w:pPr>
      <w:r>
        <w:rPr>
          <w:sz w:val="24"/>
        </w:rPr>
        <w:t xml:space="preserve">Third, we are a net-income focused company, so we must take proactive and creative steps to maximize revenue and decrease expenses. </w:t>
      </w:r>
    </w:p>
    <w:p>
      <w:pPr>
        <w:pStyle w:val="Normal"/>
        <w:rPr>
          <w:sz w:val="24"/>
        </w:rPr>
      </w:pPr>
      <w:r>
        <w:rPr>
          <w:sz w:val="24"/>
        </w:rPr>
        <w:tab/>
        <w:t>With these objectives in mind, here are the 5 areas where Enron India will focus our efforts during 2000.</w:t>
      </w:r>
    </w:p>
    <w:p>
      <w:pPr>
        <w:pStyle w:val="Normal"/>
        <w:rPr>
          <w:sz w:val="24"/>
        </w:rPr>
      </w:pPr>
      <w:r>
        <w:rPr>
          <w:sz w:val="24"/>
        </w:rPr>
      </w:r>
    </w:p>
    <w:p>
      <w:pPr>
        <w:pStyle w:val="Heading4"/>
        <w:ind w:firstLine="720" w:start="0" w:end="0"/>
        <w:rPr/>
      </w:pPr>
      <w:r>
        <w:rPr/>
        <w:t>The Top Five</w:t>
      </w:r>
    </w:p>
    <w:p>
      <w:pPr>
        <w:pStyle w:val="Normal"/>
        <w:rPr/>
      </w:pPr>
      <w:r>
        <w:rPr/>
      </w:r>
    </w:p>
    <w:p>
      <w:pPr>
        <w:pStyle w:val="Normal"/>
        <w:numPr>
          <w:ilvl w:val="0"/>
          <w:numId w:val="6"/>
        </w:numPr>
        <w:rPr>
          <w:b/>
          <w:sz w:val="24"/>
        </w:rPr>
      </w:pPr>
      <w:r>
        <w:rPr>
          <w:b/>
          <w:sz w:val="24"/>
        </w:rPr>
        <w:t>Dabhol Power Company</w:t>
      </w:r>
    </w:p>
    <w:p>
      <w:pPr>
        <w:pStyle w:val="Normal"/>
        <w:numPr>
          <w:ilvl w:val="0"/>
          <w:numId w:val="3"/>
        </w:numPr>
        <w:tabs>
          <w:tab w:val="left" w:pos="720" w:leader="none"/>
        </w:tabs>
        <w:ind w:hanging="360" w:start="720" w:end="0"/>
        <w:rPr>
          <w:sz w:val="24"/>
        </w:rPr>
      </w:pPr>
      <w:r>
        <w:rPr>
          <w:sz w:val="24"/>
        </w:rPr>
        <w:t>Maximize current earnings from Phase I, which includes ensuring proper Phase I operation</w:t>
      </w:r>
    </w:p>
    <w:p>
      <w:pPr>
        <w:pStyle w:val="Normal"/>
        <w:numPr>
          <w:ilvl w:val="0"/>
          <w:numId w:val="3"/>
        </w:numPr>
        <w:tabs>
          <w:tab w:val="left" w:pos="720" w:leader="none"/>
        </w:tabs>
        <w:ind w:hanging="360" w:start="720" w:end="0"/>
        <w:rPr>
          <w:sz w:val="24"/>
        </w:rPr>
      </w:pPr>
      <w:r>
        <w:rPr>
          <w:sz w:val="24"/>
        </w:rPr>
        <w:t>Make sure that Phase II continues on schedule and on budget, with a major emphasis on quality oversight</w:t>
      </w:r>
    </w:p>
    <w:p>
      <w:pPr>
        <w:pStyle w:val="Normal"/>
        <w:numPr>
          <w:ilvl w:val="0"/>
          <w:numId w:val="3"/>
        </w:numPr>
        <w:tabs>
          <w:tab w:val="left" w:pos="720" w:leader="none"/>
        </w:tabs>
        <w:ind w:hanging="360" w:start="720" w:end="0"/>
        <w:rPr>
          <w:sz w:val="24"/>
        </w:rPr>
      </w:pPr>
      <w:r>
        <w:rPr>
          <w:sz w:val="24"/>
        </w:rPr>
        <w:t>Address both short term and long term strategy for DPC, including optimizing relationship with MSEB by addressing their power demand needs and cash flow cycles, as well as focusing on power sales to other states and other customers</w:t>
      </w:r>
    </w:p>
    <w:p>
      <w:pPr>
        <w:pStyle w:val="Normal"/>
        <w:numPr>
          <w:ilvl w:val="0"/>
          <w:numId w:val="3"/>
        </w:numPr>
        <w:tabs>
          <w:tab w:val="left" w:pos="720" w:leader="none"/>
        </w:tabs>
        <w:ind w:hanging="360" w:start="720" w:end="0"/>
        <w:rPr>
          <w:sz w:val="24"/>
        </w:rPr>
      </w:pPr>
      <w:r>
        <w:rPr>
          <w:sz w:val="24"/>
        </w:rPr>
        <w:t>Complete equity sales to reduce Enron’s exposure, avoid debt consolidation and increase net income</w:t>
      </w:r>
    </w:p>
    <w:p>
      <w:pPr>
        <w:pStyle w:val="Normal"/>
        <w:numPr>
          <w:ilvl w:val="0"/>
          <w:numId w:val="3"/>
        </w:numPr>
        <w:tabs>
          <w:tab w:val="left" w:pos="720" w:leader="none"/>
        </w:tabs>
        <w:ind w:hanging="360" w:start="720" w:end="0"/>
        <w:rPr>
          <w:sz w:val="24"/>
        </w:rPr>
      </w:pPr>
      <w:r>
        <w:rPr>
          <w:sz w:val="24"/>
        </w:rPr>
        <w:t>Recover development costs for sponsors</w:t>
      </w:r>
    </w:p>
    <w:p>
      <w:pPr>
        <w:pStyle w:val="Normal"/>
        <w:rPr>
          <w:sz w:val="24"/>
        </w:rPr>
      </w:pPr>
      <w:r>
        <w:rPr>
          <w:sz w:val="24"/>
        </w:rPr>
      </w:r>
    </w:p>
    <w:p>
      <w:pPr>
        <w:pStyle w:val="Normal"/>
        <w:numPr>
          <w:ilvl w:val="0"/>
          <w:numId w:val="6"/>
        </w:numPr>
        <w:rPr>
          <w:b/>
          <w:sz w:val="24"/>
        </w:rPr>
      </w:pPr>
      <w:r>
        <w:rPr>
          <w:b/>
          <w:sz w:val="24"/>
        </w:rPr>
        <w:t>Metgas Pipeline and associated projects</w:t>
      </w:r>
    </w:p>
    <w:p>
      <w:pPr>
        <w:pStyle w:val="Normal"/>
        <w:numPr>
          <w:ilvl w:val="0"/>
          <w:numId w:val="5"/>
        </w:numPr>
        <w:tabs>
          <w:tab w:val="left" w:pos="720" w:leader="none"/>
        </w:tabs>
        <w:ind w:hanging="360" w:start="720" w:end="0"/>
        <w:rPr>
          <w:sz w:val="24"/>
        </w:rPr>
      </w:pPr>
      <w:r>
        <w:rPr>
          <w:sz w:val="24"/>
        </w:rPr>
        <w:t>Sign gas supply agreements for at least 1.2MM tons of natural gas</w:t>
      </w:r>
    </w:p>
    <w:p>
      <w:pPr>
        <w:pStyle w:val="Normal"/>
        <w:numPr>
          <w:ilvl w:val="0"/>
          <w:numId w:val="5"/>
        </w:numPr>
        <w:tabs>
          <w:tab w:val="left" w:pos="720" w:leader="none"/>
        </w:tabs>
        <w:ind w:hanging="360" w:start="720" w:end="0"/>
        <w:rPr>
          <w:sz w:val="24"/>
        </w:rPr>
      </w:pPr>
      <w:r>
        <w:rPr>
          <w:sz w:val="24"/>
        </w:rPr>
        <w:t xml:space="preserve">Sign upstream gas purchase agreement </w:t>
      </w:r>
    </w:p>
    <w:p>
      <w:pPr>
        <w:pStyle w:val="Normal"/>
        <w:numPr>
          <w:ilvl w:val="0"/>
          <w:numId w:val="5"/>
        </w:numPr>
        <w:tabs>
          <w:tab w:val="left" w:pos="720" w:leader="none"/>
        </w:tabs>
        <w:ind w:hanging="360" w:start="720" w:end="0"/>
        <w:rPr>
          <w:sz w:val="24"/>
        </w:rPr>
      </w:pPr>
      <w:r>
        <w:rPr>
          <w:sz w:val="24"/>
        </w:rPr>
        <w:t>Complete right of use acquisition process and begin construction on pipeline and 4</w:t>
      </w:r>
      <w:r>
        <w:rPr>
          <w:sz w:val="24"/>
          <w:vertAlign w:val="superscript"/>
        </w:rPr>
        <w:t>th</w:t>
      </w:r>
      <w:r>
        <w:rPr>
          <w:sz w:val="24"/>
        </w:rPr>
        <w:t xml:space="preserve"> tank</w:t>
      </w:r>
    </w:p>
    <w:p>
      <w:pPr>
        <w:pStyle w:val="Normal"/>
        <w:numPr>
          <w:ilvl w:val="0"/>
          <w:numId w:val="5"/>
        </w:numPr>
        <w:tabs>
          <w:tab w:val="left" w:pos="720" w:leader="none"/>
        </w:tabs>
        <w:ind w:hanging="360" w:start="720" w:end="0"/>
        <w:rPr>
          <w:sz w:val="24"/>
        </w:rPr>
      </w:pPr>
      <w:r>
        <w:rPr>
          <w:sz w:val="24"/>
        </w:rPr>
        <w:t>Financially close the project to ensure debt participation in project</w:t>
      </w:r>
    </w:p>
    <w:p>
      <w:pPr>
        <w:pStyle w:val="Normal"/>
        <w:numPr>
          <w:ilvl w:val="0"/>
          <w:numId w:val="5"/>
        </w:numPr>
        <w:tabs>
          <w:tab w:val="left" w:pos="720" w:leader="none"/>
        </w:tabs>
        <w:ind w:hanging="360" w:start="720" w:end="0"/>
        <w:rPr>
          <w:sz w:val="24"/>
        </w:rPr>
      </w:pPr>
      <w:r>
        <w:rPr>
          <w:sz w:val="24"/>
        </w:rPr>
        <w:t>Complete equity sale to bring in a partner in Metgas</w:t>
      </w:r>
    </w:p>
    <w:p>
      <w:pPr>
        <w:pStyle w:val="Normal"/>
        <w:rPr>
          <w:sz w:val="24"/>
        </w:rPr>
      </w:pPr>
      <w:r>
        <w:rPr>
          <w:sz w:val="24"/>
        </w:rPr>
      </w:r>
    </w:p>
    <w:p>
      <w:pPr>
        <w:pStyle w:val="Normal"/>
        <w:numPr>
          <w:ilvl w:val="0"/>
          <w:numId w:val="6"/>
        </w:numPr>
        <w:rPr>
          <w:b/>
          <w:sz w:val="24"/>
        </w:rPr>
      </w:pPr>
      <w:r>
        <w:rPr>
          <w:b/>
          <w:sz w:val="24"/>
        </w:rPr>
        <w:t xml:space="preserve">Net Income </w:t>
      </w:r>
    </w:p>
    <w:p>
      <w:pPr>
        <w:pStyle w:val="Normal"/>
        <w:numPr>
          <w:ilvl w:val="0"/>
          <w:numId w:val="7"/>
        </w:numPr>
        <w:tabs>
          <w:tab w:val="left" w:pos="720" w:leader="none"/>
        </w:tabs>
        <w:ind w:hanging="360" w:start="720" w:end="0"/>
        <w:rPr>
          <w:sz w:val="24"/>
        </w:rPr>
      </w:pPr>
      <w:r>
        <w:rPr>
          <w:sz w:val="24"/>
        </w:rPr>
        <w:t>Deliver at least $30MM post-tax net income to Enron Corp.</w:t>
      </w:r>
    </w:p>
    <w:p>
      <w:pPr>
        <w:pStyle w:val="Normal"/>
        <w:numPr>
          <w:ilvl w:val="0"/>
          <w:numId w:val="7"/>
        </w:numPr>
        <w:tabs>
          <w:tab w:val="left" w:pos="720" w:leader="none"/>
        </w:tabs>
        <w:ind w:hanging="360" w:start="720" w:end="0"/>
        <w:rPr>
          <w:sz w:val="24"/>
        </w:rPr>
      </w:pPr>
      <w:r>
        <w:rPr>
          <w:sz w:val="24"/>
        </w:rPr>
        <w:t>Increase revenue from DPC by improving current operations</w:t>
      </w:r>
    </w:p>
    <w:p>
      <w:pPr>
        <w:pStyle w:val="Normal"/>
        <w:numPr>
          <w:ilvl w:val="0"/>
          <w:numId w:val="7"/>
        </w:numPr>
        <w:tabs>
          <w:tab w:val="left" w:pos="720" w:leader="none"/>
        </w:tabs>
        <w:ind w:hanging="360" w:start="720" w:end="0"/>
        <w:rPr>
          <w:sz w:val="24"/>
        </w:rPr>
      </w:pPr>
      <w:r>
        <w:rPr>
          <w:sz w:val="24"/>
        </w:rPr>
        <w:t>Reduce wasteful and unnecessary expenses. This requires enormous discipline on our collective front.</w:t>
      </w:r>
    </w:p>
    <w:p>
      <w:pPr>
        <w:pStyle w:val="Normal"/>
        <w:ind w:start="360" w:end="0"/>
        <w:rPr>
          <w:sz w:val="24"/>
        </w:rPr>
      </w:pPr>
      <w:r>
        <w:rPr>
          <w:sz w:val="24"/>
        </w:rPr>
        <w:t xml:space="preserve"> </w:t>
      </w:r>
    </w:p>
    <w:p>
      <w:pPr>
        <w:pStyle w:val="Normal"/>
        <w:numPr>
          <w:ilvl w:val="0"/>
          <w:numId w:val="6"/>
        </w:numPr>
        <w:rPr>
          <w:b/>
          <w:sz w:val="24"/>
        </w:rPr>
      </w:pPr>
      <w:r>
        <w:rPr>
          <w:b/>
          <w:sz w:val="24"/>
        </w:rPr>
        <w:t>Communications/Broadband Services</w:t>
      </w:r>
    </w:p>
    <w:p>
      <w:pPr>
        <w:pStyle w:val="Normal"/>
        <w:numPr>
          <w:ilvl w:val="0"/>
          <w:numId w:val="7"/>
        </w:numPr>
        <w:tabs>
          <w:tab w:val="left" w:pos="720" w:leader="none"/>
        </w:tabs>
        <w:ind w:hanging="360" w:start="720" w:end="0"/>
        <w:rPr>
          <w:sz w:val="24"/>
        </w:rPr>
      </w:pPr>
      <w:r>
        <w:rPr>
          <w:sz w:val="24"/>
        </w:rPr>
        <w:t>Develop a world class data center in Mumbai and Points of Presence in Delhi, Bangalore, Hyderabad and Ahmedabad</w:t>
      </w:r>
    </w:p>
    <w:p>
      <w:pPr>
        <w:pStyle w:val="Normal"/>
        <w:numPr>
          <w:ilvl w:val="0"/>
          <w:numId w:val="7"/>
        </w:numPr>
        <w:tabs>
          <w:tab w:val="left" w:pos="720" w:leader="none"/>
        </w:tabs>
        <w:ind w:hanging="360" w:start="720" w:end="0"/>
        <w:rPr>
          <w:sz w:val="24"/>
        </w:rPr>
      </w:pPr>
      <w:r>
        <w:rPr>
          <w:sz w:val="24"/>
        </w:rPr>
        <w:t>Build/lease a pan-India high capacity broadband fibre and satellite network and connect to international networks in USA and Europe</w:t>
      </w:r>
    </w:p>
    <w:p>
      <w:pPr>
        <w:pStyle w:val="Normal"/>
        <w:numPr>
          <w:ilvl w:val="0"/>
          <w:numId w:val="7"/>
        </w:numPr>
        <w:tabs>
          <w:tab w:val="left" w:pos="720" w:leader="none"/>
        </w:tabs>
        <w:ind w:hanging="360" w:start="720" w:end="0"/>
        <w:rPr>
          <w:sz w:val="24"/>
        </w:rPr>
      </w:pPr>
      <w:r>
        <w:rPr>
          <w:sz w:val="24"/>
        </w:rPr>
        <w:t>Deploy broadband applications in India, specifically video transport and webcasting services.</w:t>
      </w:r>
    </w:p>
    <w:p>
      <w:pPr>
        <w:pStyle w:val="Normal"/>
        <w:numPr>
          <w:ilvl w:val="0"/>
          <w:numId w:val="7"/>
        </w:numPr>
        <w:tabs>
          <w:tab w:val="left" w:pos="720" w:leader="none"/>
        </w:tabs>
        <w:ind w:hanging="360" w:start="720" w:end="0"/>
        <w:rPr>
          <w:sz w:val="24"/>
        </w:rPr>
      </w:pPr>
      <w:r>
        <w:rPr>
          <w:sz w:val="24"/>
        </w:rPr>
        <w:t xml:space="preserve">Build alliances for software development in India </w:t>
      </w:r>
    </w:p>
    <w:p>
      <w:pPr>
        <w:pStyle w:val="Normal"/>
        <w:numPr>
          <w:ilvl w:val="0"/>
          <w:numId w:val="7"/>
        </w:numPr>
        <w:tabs>
          <w:tab w:val="left" w:pos="720" w:leader="none"/>
        </w:tabs>
        <w:ind w:hanging="360" w:start="720" w:end="0"/>
        <w:rPr>
          <w:sz w:val="24"/>
        </w:rPr>
      </w:pPr>
      <w:r>
        <w:rPr>
          <w:sz w:val="24"/>
        </w:rPr>
        <w:t>Build strong team to focus on broadband services in region</w:t>
      </w:r>
    </w:p>
    <w:p>
      <w:pPr>
        <w:pStyle w:val="Normal"/>
        <w:rPr>
          <w:sz w:val="24"/>
        </w:rPr>
      </w:pPr>
      <w:r>
        <w:rPr>
          <w:sz w:val="24"/>
        </w:rPr>
      </w:r>
    </w:p>
    <w:p>
      <w:pPr>
        <w:pStyle w:val="Normal"/>
        <w:numPr>
          <w:ilvl w:val="0"/>
          <w:numId w:val="6"/>
        </w:numPr>
        <w:rPr>
          <w:b/>
          <w:sz w:val="24"/>
        </w:rPr>
      </w:pPr>
      <w:r>
        <w:rPr>
          <w:b/>
          <w:sz w:val="24"/>
        </w:rPr>
        <w:t>Energy Services</w:t>
      </w:r>
    </w:p>
    <w:p>
      <w:pPr>
        <w:pStyle w:val="Normal"/>
        <w:numPr>
          <w:ilvl w:val="0"/>
          <w:numId w:val="4"/>
        </w:numPr>
        <w:tabs>
          <w:tab w:val="left" w:pos="720" w:leader="none"/>
        </w:tabs>
        <w:ind w:hanging="360" w:start="720" w:end="0"/>
        <w:rPr>
          <w:sz w:val="24"/>
        </w:rPr>
      </w:pPr>
      <w:r>
        <w:rPr>
          <w:sz w:val="24"/>
        </w:rPr>
        <w:t>Evaluate current business model to focus on capital requirements, timing of cash flows and return on investments</w:t>
      </w:r>
    </w:p>
    <w:p>
      <w:pPr>
        <w:pStyle w:val="Normal"/>
        <w:numPr>
          <w:ilvl w:val="0"/>
          <w:numId w:val="4"/>
        </w:numPr>
        <w:tabs>
          <w:tab w:val="left" w:pos="720" w:leader="none"/>
        </w:tabs>
        <w:ind w:hanging="360" w:start="720" w:end="0"/>
        <w:rPr>
          <w:sz w:val="24"/>
        </w:rPr>
      </w:pPr>
      <w:r>
        <w:rPr>
          <w:sz w:val="24"/>
        </w:rPr>
        <w:t>Determine timing of market entry</w:t>
      </w:r>
    </w:p>
    <w:p>
      <w:pPr>
        <w:pStyle w:val="Normal"/>
        <w:rPr>
          <w:sz w:val="24"/>
        </w:rPr>
      </w:pPr>
      <w:r>
        <w:rPr>
          <w:sz w:val="24"/>
        </w:rPr>
        <w:t>With a strong focus on these 5, we are convinced we can be even more successful in 2000 than in years past.</w:t>
      </w:r>
    </w:p>
    <w:p>
      <w:pPr>
        <w:pStyle w:val="Normal"/>
        <w:rPr>
          <w:sz w:val="24"/>
        </w:rPr>
      </w:pPr>
      <w:r>
        <w:rPr>
          <w:sz w:val="24"/>
        </w:rPr>
      </w:r>
    </w:p>
    <w:p>
      <w:pPr>
        <w:pStyle w:val="Heading4"/>
        <w:ind w:hanging="0" w:start="0"/>
        <w:rPr/>
      </w:pPr>
      <w:r>
        <w:rPr/>
        <w:t>What About the Rest?</w:t>
      </w:r>
    </w:p>
    <w:p>
      <w:pPr>
        <w:pStyle w:val="Normal"/>
        <w:rPr>
          <w:sz w:val="24"/>
        </w:rPr>
      </w:pPr>
      <w:r>
        <w:rPr>
          <w:sz w:val="24"/>
        </w:rPr>
        <w:t xml:space="preserve">Enron India has been pursuing many more projects and business areas than those listed above. Given our focus on the top 5, we will significantly slow down, and in some cases stop altogether, efforts on other projects. Two important things to note about this process. </w:t>
      </w:r>
    </w:p>
    <w:p>
      <w:pPr>
        <w:pStyle w:val="Normal"/>
        <w:numPr>
          <w:ilvl w:val="0"/>
          <w:numId w:val="9"/>
        </w:numPr>
        <w:rPr>
          <w:sz w:val="24"/>
        </w:rPr>
      </w:pPr>
      <w:r>
        <w:rPr>
          <w:sz w:val="24"/>
        </w:rPr>
        <w:t>First, people working on projects that are being slowed down or stopped will be deployed on other projects and in other business areas. We have asked the heads of each of the business units impacted by our new focus to evaluate their current personnel’s work assignments and develop a plan to redeploy personnel where required. It is important that all of you talk to your immediate supervisor if you have any concerns. The objective of this exercise is to make sure that we focus our good people on good projects at the same time keeping in mind the personal development goals of our people.</w:t>
      </w:r>
    </w:p>
    <w:p>
      <w:pPr>
        <w:pStyle w:val="Normal"/>
        <w:numPr>
          <w:ilvl w:val="0"/>
          <w:numId w:val="9"/>
        </w:numPr>
        <w:rPr>
          <w:sz w:val="24"/>
        </w:rPr>
      </w:pPr>
      <w:r>
        <w:rPr>
          <w:sz w:val="24"/>
        </w:rPr>
        <w:t>Second, while we understand the opportunities and positive results that will come from our renewed focus on few projects and business opportunities, it also means we will not pursue many projects and we need to be very careful in how we communicate this to the external world. We are still open to long term development opportunities but we will be careful about the ones that we will focus on. The Management Committee will be working in the next few days to develop a plan to communicate our new focus to all external parties associated with each project that is impacted.</w:t>
      </w:r>
    </w:p>
    <w:p>
      <w:pPr>
        <w:pStyle w:val="Normal"/>
        <w:ind w:start="360" w:end="0"/>
        <w:rPr>
          <w:sz w:val="24"/>
        </w:rPr>
      </w:pPr>
      <w:r>
        <w:rPr>
          <w:sz w:val="24"/>
        </w:rPr>
      </w:r>
    </w:p>
    <w:p>
      <w:pPr>
        <w:pStyle w:val="Heading4"/>
        <w:ind w:hanging="0" w:start="0"/>
        <w:rPr/>
      </w:pPr>
      <w:r>
        <w:rPr/>
        <w:t>Conclusion</w:t>
      </w:r>
    </w:p>
    <w:p>
      <w:pPr>
        <w:pStyle w:val="Normal"/>
        <w:rPr>
          <w:sz w:val="24"/>
        </w:rPr>
      </w:pPr>
      <w:r>
        <w:rPr>
          <w:sz w:val="24"/>
        </w:rPr>
        <w:t>Great opportunities lie ahead of us at Enron India. By focusing on the Top 5 business items, we can make a major impact for Enron in our region. We look forward to working with you to make 2000 an even more successful year than 1999. If you have any questions, please feel free to contact either Sanjay or Wade or any member of the Management Committee.</w:t>
      </w:r>
    </w:p>
    <w:p>
      <w:pPr>
        <w:pStyle w:val="Normal"/>
        <w:rPr>
          <w:sz w:val="24"/>
        </w:rPr>
      </w:pPr>
      <w:r>
        <w:rPr>
          <w:sz w:val="24"/>
        </w:rPr>
        <w:t>We look forward to your continued dedication and teamwork to make Enron India one of the most successful business units within Enron Corp. Let’s make it happen!!</w:t>
      </w:r>
    </w:p>
    <w:p>
      <w:pPr>
        <w:pStyle w:val="Normal"/>
        <w:spacing w:before="60" w:after="60"/>
        <w:rPr>
          <w:sz w:val="24"/>
        </w:rPr>
      </w:pPr>
      <w:r>
        <w:rPr>
          <w:sz w:val="24"/>
        </w:rPr>
      </w:r>
    </w:p>
    <w:sectPr>
      <w:headerReference w:type="default" r:id="rId3"/>
      <w:headerReference w:type="first" r:id="rId4"/>
      <w:footerReference w:type="default" r:id="rId5"/>
      <w:footerReference w:type="first" r:id="rId6"/>
      <w:type w:val="nextPage"/>
      <w:pgSz w:w="12240" w:h="15840"/>
      <w:pgMar w:left="1440" w:right="1440" w:gutter="0" w:header="720" w:top="108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sz w:val="16"/>
      </w:rPr>
    </w:pPr>
    <w:r>
      <w:rPr>
        <w:sz w:val="16"/>
      </w:rPr>
      <w:t>Memo all EI employees 2-00</w:t>
    </w:r>
  </w:p>
  <w:p>
    <w:pPr>
      <w:pStyle w:val="Footer"/>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sz w:val="16"/>
      </w:rPr>
    </w:pPr>
    <w:r>
      <w:rPr>
        <w:sz w:val="16"/>
      </w:rPr>
      <w:t>Memo all EI employees 2-00</w:t>
    </w:r>
  </w:p>
  <w:p>
    <w:pPr>
      <w:pStyle w:val="Footer"/>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b/>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rPr>
      <w:sz w:val="24"/>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2000-02-17T01:59:00Z</dcterms:created>
  <dc:creator>EDC</dc:creator>
  <dc:description/>
  <dc:language>en-CA</dc:language>
  <cp:lastModifiedBy>EI-MUM-FD14</cp:lastModifiedBy>
  <cp:lastPrinted>1998-03-09T09:55:00Z</cp:lastPrinted>
  <dcterms:modified xsi:type="dcterms:W3CDTF">2000-02-17T05:17:00Z</dcterms:modified>
  <cp:revision>3</cp:revision>
  <dc:subject/>
  <dc:title>Enron International Memo</dc:title>
</cp:coreProperties>
</file>