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drawing>
          <wp:inline distT="0" distB="0" distL="0" distR="0">
            <wp:extent cx="995680" cy="9899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95680" cy="989965"/>
                    </a:xfrm>
                    <a:prstGeom prst="rect">
                      <a:avLst/>
                    </a:prstGeom>
                    <a:noFill/>
                  </pic:spPr>
                </pic:pic>
              </a:graphicData>
            </a:graphic>
          </wp:inline>
        </w:drawing>
      </w:r>
    </w:p>
    <w:p>
      <w:pPr>
        <w:pStyle w:val="Heading"/>
        <w:jc w:val="end"/>
        <w:rPr>
          <w:sz w:val="22"/>
        </w:rPr>
      </w:pPr>
      <w:r>
        <w:rPr>
          <w:sz w:val="22"/>
        </w:rPr>
        <w:t>PRIVILEGED AND CONFIDENTIAL</w:t>
      </w:r>
    </w:p>
    <w:p>
      <w:pPr>
        <w:pStyle w:val="Heading"/>
        <w:jc w:val="end"/>
        <w:rPr>
          <w:sz w:val="22"/>
        </w:rPr>
      </w:pPr>
      <w:r>
        <w:rPr>
          <w:sz w:val="22"/>
        </w:rPr>
        <w:t>SOLICITOR - CLIENT COMMUNICATION</w:t>
      </w:r>
    </w:p>
    <w:tbl>
      <w:tblPr>
        <w:tblW w:w="9266" w:type="dxa"/>
        <w:jc w:val="start"/>
        <w:tblInd w:w="202" w:type="dxa"/>
        <w:tblLayout w:type="fixed"/>
        <w:tblCellMar>
          <w:top w:w="0" w:type="dxa"/>
          <w:start w:w="108" w:type="dxa"/>
          <w:bottom w:w="0" w:type="dxa"/>
          <w:end w:w="108" w:type="dxa"/>
        </w:tblCellMar>
      </w:tblPr>
      <w:tblGrid>
        <w:gridCol w:w="708"/>
        <w:gridCol w:w="6045"/>
        <w:gridCol w:w="990"/>
        <w:gridCol w:w="1523"/>
      </w:tblGrid>
      <w:tr>
        <w:trPr/>
        <w:tc>
          <w:tcPr>
            <w:tcW w:w="708" w:type="dxa"/>
            <w:tcBorders/>
          </w:tcPr>
          <w:p>
            <w:pPr>
              <w:pStyle w:val="Normal"/>
              <w:ind w:start="-180" w:end="0"/>
              <w:jc w:val="end"/>
              <w:rPr>
                <w:sz w:val="16"/>
              </w:rPr>
            </w:pPr>
            <w:r>
              <w:rPr>
                <w:sz w:val="16"/>
              </w:rPr>
              <w:t>To:</w:t>
            </w:r>
          </w:p>
        </w:tc>
        <w:tc>
          <w:tcPr>
            <w:tcW w:w="6045" w:type="dxa"/>
            <w:tcBorders/>
          </w:tcPr>
          <w:p>
            <w:pPr>
              <w:pStyle w:val="To"/>
              <w:rPr/>
            </w:pPr>
            <w:r>
              <w:rPr/>
              <w:t>Andy Knight, Bill Bradford, John Suttle and Vladimir Gorny</w:t>
            </w:r>
          </w:p>
        </w:tc>
        <w:tc>
          <w:tcPr>
            <w:tcW w:w="990" w:type="dxa"/>
            <w:tcBorders/>
          </w:tcPr>
          <w:p>
            <w:pPr>
              <w:pStyle w:val="Normal"/>
              <w:snapToGrid w:val="false"/>
              <w:ind w:start="-180" w:end="0"/>
              <w:rPr/>
            </w:pPr>
            <w:r>
              <w:rPr/>
            </w:r>
          </w:p>
        </w:tc>
        <w:tc>
          <w:tcPr>
            <w:tcW w:w="1523" w:type="dxa"/>
            <w:tcBorders/>
          </w:tcPr>
          <w:p>
            <w:pPr>
              <w:pStyle w:val="Normal"/>
              <w:snapToGrid w:val="false"/>
              <w:rPr/>
            </w:pPr>
            <w:r>
              <w:rPr/>
            </w:r>
          </w:p>
        </w:tc>
      </w:tr>
      <w:tr>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1523" w:type="dxa"/>
            <w:tcBorders/>
          </w:tcPr>
          <w:p>
            <w:pPr>
              <w:pStyle w:val="Normal"/>
              <w:snapToGrid w:val="false"/>
              <w:rPr>
                <w:sz w:val="18"/>
              </w:rPr>
            </w:pPr>
            <w:r>
              <w:rPr>
                <w:sz w:val="18"/>
              </w:rPr>
            </w:r>
          </w:p>
        </w:tc>
      </w:tr>
      <w:tr>
        <w:trPr/>
        <w:tc>
          <w:tcPr>
            <w:tcW w:w="708" w:type="dxa"/>
            <w:tcBorders/>
          </w:tcPr>
          <w:p>
            <w:pPr>
              <w:pStyle w:val="Normal"/>
              <w:ind w:start="-180" w:end="0"/>
              <w:jc w:val="end"/>
              <w:rPr>
                <w:sz w:val="16"/>
              </w:rPr>
            </w:pPr>
            <w:r>
              <w:rPr>
                <w:sz w:val="16"/>
              </w:rPr>
              <w:t>c:</w:t>
            </w:r>
          </w:p>
        </w:tc>
        <w:tc>
          <w:tcPr>
            <w:tcW w:w="6045" w:type="dxa"/>
            <w:tcBorders/>
          </w:tcPr>
          <w:p>
            <w:pPr>
              <w:pStyle w:val="Normal"/>
              <w:rPr>
                <w:sz w:val="18"/>
              </w:rPr>
            </w:pPr>
            <w:r>
              <w:rPr>
                <w:sz w:val="18"/>
              </w:rPr>
              <w:t xml:space="preserve">Rick Buy, Derek Davies, Dave Delainey, Mark Haedicke, Jeff Hodge, Greg Johnston, Peter Keohane, John Lavorato, Rob Milnthorp and André Templeman </w:t>
            </w:r>
          </w:p>
        </w:tc>
        <w:tc>
          <w:tcPr>
            <w:tcW w:w="990" w:type="dxa"/>
            <w:tcBorders/>
          </w:tcPr>
          <w:p>
            <w:pPr>
              <w:pStyle w:val="Normal"/>
              <w:snapToGrid w:val="false"/>
              <w:ind w:start="-180" w:end="0"/>
              <w:rPr>
                <w:sz w:val="18"/>
              </w:rPr>
            </w:pPr>
            <w:r>
              <w:rPr>
                <w:sz w:val="18"/>
              </w:rPr>
            </w:r>
          </w:p>
        </w:tc>
        <w:tc>
          <w:tcPr>
            <w:tcW w:w="1523" w:type="dxa"/>
            <w:tcBorders/>
          </w:tcPr>
          <w:p>
            <w:pPr>
              <w:pStyle w:val="Normal"/>
              <w:snapToGrid w:val="false"/>
              <w:rPr>
                <w:sz w:val="18"/>
              </w:rPr>
            </w:pPr>
            <w:r>
              <w:rPr>
                <w:sz w:val="18"/>
              </w:rPr>
            </w:r>
          </w:p>
        </w:tc>
      </w:tr>
      <w:tr>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1523" w:type="dxa"/>
            <w:tcBorders/>
          </w:tcPr>
          <w:p>
            <w:pPr>
              <w:pStyle w:val="Normal"/>
              <w:snapToGrid w:val="false"/>
              <w:rPr>
                <w:sz w:val="18"/>
              </w:rPr>
            </w:pPr>
            <w:r>
              <w:rPr>
                <w:sz w:val="18"/>
              </w:rPr>
            </w:r>
          </w:p>
        </w:tc>
      </w:tr>
      <w:tr>
        <w:trPr/>
        <w:tc>
          <w:tcPr>
            <w:tcW w:w="708" w:type="dxa"/>
            <w:tcBorders/>
          </w:tcPr>
          <w:p>
            <w:pPr>
              <w:pStyle w:val="Normal"/>
              <w:ind w:start="-180" w:end="0"/>
              <w:jc w:val="end"/>
              <w:rPr>
                <w:sz w:val="16"/>
              </w:rPr>
            </w:pPr>
            <w:r>
              <w:rPr>
                <w:sz w:val="16"/>
              </w:rPr>
              <w:t>From:</w:t>
            </w:r>
          </w:p>
        </w:tc>
        <w:tc>
          <w:tcPr>
            <w:tcW w:w="6045" w:type="dxa"/>
            <w:tcBorders/>
          </w:tcPr>
          <w:p>
            <w:pPr>
              <w:pStyle w:val="From"/>
              <w:rPr/>
            </w:pPr>
            <w:r>
              <w:rPr/>
              <w:t>Mark Powell</w:t>
            </w:r>
          </w:p>
        </w:tc>
        <w:tc>
          <w:tcPr>
            <w:tcW w:w="990" w:type="dxa"/>
            <w:tcBorders/>
          </w:tcPr>
          <w:p>
            <w:pPr>
              <w:pStyle w:val="Normal"/>
              <w:ind w:start="-180" w:end="0"/>
              <w:jc w:val="end"/>
              <w:rPr>
                <w:sz w:val="16"/>
              </w:rPr>
            </w:pPr>
            <w:r>
              <w:rPr>
                <w:sz w:val="16"/>
              </w:rPr>
              <w:t>Department:</w:t>
            </w:r>
          </w:p>
        </w:tc>
        <w:tc>
          <w:tcPr>
            <w:tcW w:w="1523" w:type="dxa"/>
            <w:tcBorders/>
          </w:tcPr>
          <w:p>
            <w:pPr>
              <w:pStyle w:val="Department"/>
              <w:rPr/>
            </w:pPr>
            <w:bookmarkStart w:id="0" w:name="From"/>
            <w:bookmarkEnd w:id="0"/>
            <w:r>
              <w:rPr/>
              <w:t>Law</w:t>
            </w:r>
          </w:p>
        </w:tc>
      </w:tr>
      <w:tr>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1523" w:type="dxa"/>
            <w:tcBorders/>
          </w:tcPr>
          <w:p>
            <w:pPr>
              <w:pStyle w:val="Normal"/>
              <w:snapToGrid w:val="false"/>
              <w:rPr>
                <w:sz w:val="18"/>
              </w:rPr>
            </w:pPr>
            <w:r>
              <w:rPr>
                <w:sz w:val="18"/>
              </w:rPr>
            </w:r>
          </w:p>
        </w:tc>
      </w:tr>
      <w:tr>
        <w:trPr/>
        <w:tc>
          <w:tcPr>
            <w:tcW w:w="708" w:type="dxa"/>
            <w:tcBorders>
              <w:bottom w:val="single" w:sz="12" w:space="0" w:color="000000"/>
            </w:tcBorders>
          </w:tcPr>
          <w:p>
            <w:pPr>
              <w:pStyle w:val="Normal"/>
              <w:ind w:start="-180" w:end="0"/>
              <w:jc w:val="end"/>
              <w:rPr>
                <w:sz w:val="16"/>
              </w:rPr>
            </w:pPr>
            <w:r>
              <w:rPr>
                <w:sz w:val="16"/>
              </w:rPr>
              <w:t>Subject:</w:t>
            </w:r>
          </w:p>
        </w:tc>
        <w:tc>
          <w:tcPr>
            <w:tcW w:w="6045" w:type="dxa"/>
            <w:tcBorders>
              <w:bottom w:val="single" w:sz="12" w:space="0" w:color="000000"/>
            </w:tcBorders>
          </w:tcPr>
          <w:p>
            <w:pPr>
              <w:pStyle w:val="Subject"/>
              <w:rPr/>
            </w:pPr>
            <w:r>
              <w:rPr/>
              <w:t>Alberta Power Purchase Arrangements Auction – Bid Deposit/Letter of Credit</w:t>
            </w:r>
          </w:p>
          <w:p>
            <w:pPr>
              <w:pStyle w:val="Subject"/>
              <w:rPr/>
            </w:pPr>
            <w:r>
              <w:rPr/>
            </w:r>
          </w:p>
        </w:tc>
        <w:tc>
          <w:tcPr>
            <w:tcW w:w="990" w:type="dxa"/>
            <w:tcBorders>
              <w:bottom w:val="single" w:sz="12" w:space="0" w:color="000000"/>
            </w:tcBorders>
          </w:tcPr>
          <w:p>
            <w:pPr>
              <w:pStyle w:val="Normal"/>
              <w:ind w:start="-180" w:end="0"/>
              <w:jc w:val="end"/>
              <w:rPr>
                <w:sz w:val="16"/>
              </w:rPr>
            </w:pPr>
            <w:r>
              <w:rPr>
                <w:sz w:val="16"/>
              </w:rPr>
              <w:t>Date:</w:t>
            </w:r>
          </w:p>
        </w:tc>
        <w:tc>
          <w:tcPr>
            <w:tcW w:w="1523" w:type="dxa"/>
            <w:tcBorders>
              <w:bottom w:val="single" w:sz="12" w:space="0" w:color="000000"/>
            </w:tcBorders>
          </w:tcPr>
          <w:p>
            <w:pPr>
              <w:pStyle w:val="Date"/>
              <w:rPr/>
            </w:pPr>
            <w:r>
              <w:rPr/>
              <w:t>June 5, 2000</w:t>
            </w:r>
          </w:p>
        </w:tc>
      </w:tr>
    </w:tbl>
    <w:p>
      <w:pPr>
        <w:pStyle w:val="Body"/>
        <w:ind w:start="90" w:end="0"/>
        <w:jc w:val="both"/>
        <w:rPr>
          <w:sz w:val="22"/>
        </w:rPr>
      </w:pPr>
      <w:r>
        <w:rPr>
          <w:sz w:val="22"/>
        </w:rPr>
      </w:r>
      <w:bookmarkStart w:id="1" w:name="StartOfMemo"/>
      <w:bookmarkStart w:id="2" w:name="StartOfMemo"/>
      <w:bookmarkEnd w:id="2"/>
    </w:p>
    <w:p>
      <w:pPr>
        <w:pStyle w:val="Body"/>
        <w:ind w:start="90" w:end="0"/>
        <w:jc w:val="center"/>
        <w:rPr>
          <w:b/>
          <w:sz w:val="22"/>
        </w:rPr>
      </w:pPr>
      <w:r>
        <w:rPr>
          <w:b/>
          <w:sz w:val="22"/>
        </w:rPr>
      </w:r>
    </w:p>
    <w:p>
      <w:pPr>
        <w:pStyle w:val="Body"/>
        <w:ind w:start="90" w:end="0"/>
        <w:jc w:val="center"/>
        <w:rPr>
          <w:b/>
          <w:sz w:val="22"/>
        </w:rPr>
      </w:pPr>
      <w:r>
        <w:rPr>
          <w:b/>
          <w:sz w:val="22"/>
        </w:rPr>
        <w:t>LEGAL RISK RATING:  2</w:t>
      </w:r>
    </w:p>
    <w:p>
      <w:pPr>
        <w:pStyle w:val="Body"/>
        <w:spacing w:before="120" w:after="0"/>
        <w:ind w:start="90" w:end="0"/>
        <w:jc w:val="both"/>
        <w:rPr>
          <w:color w:val="auto"/>
          <w:sz w:val="22"/>
        </w:rPr>
      </w:pPr>
      <w:r>
        <w:rPr>
          <w:color w:val="auto"/>
          <w:sz w:val="22"/>
        </w:rPr>
        <w:t xml:space="preserve">You have asked me to assess and summarize the legal risks related to a letter of credit which is to be provided by Enron Canada Corp. ("Enron Canada") as a bid deposit in connection with the anticipated auction (the "Auction") of Alberta Power Purchase Arrangements (the "PPAs").  More specifically, you are interested in knowing whether the funds represented by the letter of credit will be either refundable or at risk.  </w:t>
      </w:r>
    </w:p>
    <w:p>
      <w:pPr>
        <w:pStyle w:val="Body"/>
        <w:spacing w:before="120" w:after="0"/>
        <w:ind w:start="90" w:end="0"/>
        <w:jc w:val="both"/>
        <w:rPr>
          <w:color w:val="auto"/>
          <w:sz w:val="22"/>
        </w:rPr>
      </w:pPr>
      <w:r>
        <w:rPr>
          <w:color w:val="auto"/>
          <w:sz w:val="22"/>
        </w:rPr>
      </w:r>
    </w:p>
    <w:p>
      <w:pPr>
        <w:pStyle w:val="Body"/>
        <w:spacing w:before="120" w:after="0"/>
        <w:ind w:start="90" w:end="0"/>
        <w:jc w:val="both"/>
        <w:rPr>
          <w:b/>
          <w:color w:val="auto"/>
          <w:sz w:val="22"/>
        </w:rPr>
      </w:pPr>
      <w:r>
        <w:rPr>
          <w:b/>
          <w:color w:val="auto"/>
          <w:sz w:val="22"/>
        </w:rPr>
        <w:t>Summary</w:t>
      </w:r>
    </w:p>
    <w:p>
      <w:pPr>
        <w:pStyle w:val="Body"/>
        <w:spacing w:before="120" w:after="0"/>
        <w:ind w:start="90" w:end="0"/>
        <w:jc w:val="both"/>
        <w:rPr>
          <w:color w:val="auto"/>
          <w:sz w:val="22"/>
        </w:rPr>
      </w:pPr>
      <w:r>
        <w:rPr>
          <w:color w:val="auto"/>
          <w:sz w:val="22"/>
        </w:rPr>
        <w:t>Assuming that Enron Canada complies with the Participation Agreement (as defined below) and other requirements applicable to the Auction, the bid deposit, including if posted by a letter of credit, is fully refundable if Enron Canada withdraws from the Auction without bidding.</w:t>
      </w:r>
    </w:p>
    <w:p>
      <w:pPr>
        <w:pStyle w:val="Body"/>
        <w:spacing w:before="120" w:after="120"/>
        <w:ind w:start="90" w:end="0"/>
        <w:jc w:val="both"/>
        <w:rPr>
          <w:color w:val="auto"/>
          <w:sz w:val="22"/>
        </w:rPr>
      </w:pPr>
      <w:r>
        <w:rPr>
          <w:color w:val="auto"/>
          <w:sz w:val="22"/>
        </w:rPr>
        <w:t xml:space="preserve">However, the risk is the uncertainty regarding the actual provisions which will ultimately govern the Auction and the letter of credit.  The Government has to finalize, and we have yet to receive and review, the final version of the Draft Rules (as defined below) and there is some potential for the applicable rules governing the bid deposit, including the penalty provisions, to change after the letter of credit is submitted.  </w:t>
      </w:r>
    </w:p>
    <w:p>
      <w:pPr>
        <w:pStyle w:val="Body"/>
        <w:spacing w:before="120" w:after="120"/>
        <w:ind w:start="90" w:end="0"/>
        <w:jc w:val="both"/>
        <w:rPr>
          <w:b/>
          <w:color w:val="auto"/>
          <w:sz w:val="22"/>
        </w:rPr>
      </w:pPr>
      <w:r>
        <w:rPr>
          <w:b/>
          <w:color w:val="auto"/>
          <w:sz w:val="22"/>
        </w:rPr>
        <w:t>Applicable Documentation</w:t>
      </w:r>
    </w:p>
    <w:p>
      <w:pPr>
        <w:pStyle w:val="Body"/>
        <w:spacing w:before="120" w:after="120"/>
        <w:ind w:start="90" w:end="0"/>
        <w:jc w:val="both"/>
        <w:rPr>
          <w:color w:val="auto"/>
          <w:sz w:val="22"/>
        </w:rPr>
      </w:pPr>
      <w:r>
        <w:rPr>
          <w:color w:val="auto"/>
          <w:sz w:val="22"/>
        </w:rPr>
        <w:t>In this regard, I have reviewed the documents described immediately below.</w:t>
      </w:r>
    </w:p>
    <w:p>
      <w:pPr>
        <w:pStyle w:val="Body"/>
        <w:numPr>
          <w:ilvl w:val="0"/>
          <w:numId w:val="3"/>
        </w:numPr>
        <w:spacing w:before="120" w:after="0"/>
        <w:ind w:hanging="648" w:start="720" w:end="0"/>
        <w:jc w:val="both"/>
        <w:rPr>
          <w:color w:val="auto"/>
          <w:sz w:val="22"/>
        </w:rPr>
      </w:pPr>
      <w:r>
        <w:rPr>
          <w:i/>
          <w:color w:val="auto"/>
          <w:sz w:val="22"/>
          <w:u w:val="single"/>
        </w:rPr>
        <w:t xml:space="preserve">Power Purchase Arrangement Auction Regulation, </w:t>
      </w:r>
      <w:r>
        <w:rPr>
          <w:color w:val="auto"/>
          <w:sz w:val="22"/>
          <w:u w:val="single"/>
        </w:rPr>
        <w:t>A. R. 85/2000 (the "Regulation")</w:t>
      </w:r>
      <w:r>
        <w:rPr>
          <w:color w:val="auto"/>
          <w:sz w:val="22"/>
        </w:rPr>
        <w:t xml:space="preserve">.  The Regulation  provides some of the rules for the PPA Auction (the "Auction Rules") as well as the authority for the Executive Director of the Electricity Branch of the Department of Resource Development or a successor office (the "Director") to make additional Auction Rules.  Please note that the Auction Rules are comprised of the rules contained in the Regulation, the rules proposed by the Director (as described below) and any other rule, procedure and penalty or default provision established by the Director or the Minister of Resource Development of the Province of Alberta (the "Minister").  </w:t>
      </w:r>
    </w:p>
    <w:p>
      <w:pPr>
        <w:pStyle w:val="Body"/>
        <w:numPr>
          <w:ilvl w:val="0"/>
          <w:numId w:val="3"/>
        </w:numPr>
        <w:spacing w:before="120" w:after="0"/>
        <w:ind w:hanging="648" w:start="720" w:end="0"/>
        <w:jc w:val="both"/>
        <w:rPr>
          <w:color w:val="auto"/>
          <w:sz w:val="22"/>
        </w:rPr>
      </w:pPr>
      <w:r>
        <w:rPr>
          <w:color w:val="auto"/>
          <w:sz w:val="22"/>
          <w:u w:val="single"/>
        </w:rPr>
        <w:t>Participation Agreement</w:t>
      </w:r>
      <w:r>
        <w:rPr>
          <w:color w:val="auto"/>
          <w:sz w:val="22"/>
        </w:rPr>
        <w:t>.  Enron Canada received an auction participation agreement (the "Participation Agreement") on June 2, 2000 from Charles River Associates ("CRA") which appears to be in finalized form.  The Participation Agreement includes provisions which specifically govern the letter of credit.</w:t>
      </w:r>
    </w:p>
    <w:p>
      <w:pPr>
        <w:pStyle w:val="Body"/>
        <w:numPr>
          <w:ilvl w:val="0"/>
          <w:numId w:val="3"/>
        </w:numPr>
        <w:spacing w:before="120" w:after="0"/>
        <w:ind w:hanging="648" w:start="720" w:end="0"/>
        <w:jc w:val="both"/>
        <w:rPr>
          <w:color w:val="auto"/>
          <w:sz w:val="22"/>
        </w:rPr>
      </w:pPr>
      <w:r>
        <w:rPr>
          <w:color w:val="auto"/>
          <w:sz w:val="22"/>
          <w:u w:val="single"/>
        </w:rPr>
        <w:t>Draft Rules</w:t>
      </w:r>
      <w:r>
        <w:rPr>
          <w:color w:val="auto"/>
          <w:sz w:val="22"/>
        </w:rPr>
        <w:t>.  Enron Canada has received a draft of the Auction Rules proposed by the Director dated May 31, 2000 (the "Draft Rules") and has been advised that the final form of the Draft Rules is to be published shortly.  Considering the importance of the Draft Rules to the task at hand, a review of the finalized version of such document is required to properly assess the risk associated with the letter of credit.</w:t>
      </w:r>
    </w:p>
    <w:p>
      <w:pPr>
        <w:pStyle w:val="Body"/>
        <w:numPr>
          <w:ilvl w:val="0"/>
          <w:numId w:val="3"/>
        </w:numPr>
        <w:spacing w:before="120" w:after="0"/>
        <w:ind w:hanging="648" w:start="720" w:end="0"/>
        <w:jc w:val="both"/>
        <w:rPr>
          <w:color w:val="auto"/>
          <w:sz w:val="22"/>
        </w:rPr>
      </w:pPr>
      <w:r>
        <w:rPr>
          <w:color w:val="auto"/>
          <w:sz w:val="22"/>
          <w:u w:val="single"/>
        </w:rPr>
        <w:t>Final Report on PPA Auction Design</w:t>
      </w:r>
      <w:r>
        <w:rPr>
          <w:color w:val="auto"/>
          <w:sz w:val="22"/>
        </w:rPr>
        <w:t>.  The "Final Report on PPA Auction Design", dated December 30, 1999, contains recommendations and generalizations relating to the Auction Rules; however, it is relatively silent with respect to the specific terms which would govern the letter of credit.</w:t>
      </w:r>
    </w:p>
    <w:p>
      <w:pPr>
        <w:pStyle w:val="Body"/>
        <w:numPr>
          <w:ilvl w:val="0"/>
          <w:numId w:val="3"/>
        </w:numPr>
        <w:spacing w:before="120" w:after="0"/>
        <w:ind w:hanging="648" w:start="720" w:end="0"/>
        <w:jc w:val="both"/>
        <w:rPr>
          <w:color w:val="auto"/>
          <w:sz w:val="22"/>
        </w:rPr>
      </w:pPr>
      <w:r>
        <w:rPr>
          <w:color w:val="auto"/>
          <w:sz w:val="22"/>
          <w:u w:val="single"/>
        </w:rPr>
        <w:t>Bid Deposit Form</w:t>
      </w:r>
      <w:r>
        <w:rPr>
          <w:color w:val="auto"/>
          <w:sz w:val="22"/>
        </w:rPr>
        <w:t>.  The "Bid Deposit Form" is a two-page document which is to be submitted as part of the qualification process.  According to the form, amongst other things, a bidder acknowledges that all payments, penalties and other amounts payable by the bidder pursuant to the Auction Rules and the Auction Participation Agreement shall be paid or deducted from the bid deposit.</w:t>
      </w:r>
    </w:p>
    <w:p>
      <w:pPr>
        <w:pStyle w:val="Body"/>
        <w:numPr>
          <w:ilvl w:val="0"/>
          <w:numId w:val="3"/>
        </w:numPr>
        <w:spacing w:before="120" w:after="0"/>
        <w:ind w:hanging="648" w:start="720" w:end="0"/>
        <w:jc w:val="both"/>
        <w:rPr>
          <w:color w:val="auto"/>
          <w:sz w:val="22"/>
        </w:rPr>
      </w:pPr>
      <w:r>
        <w:rPr>
          <w:color w:val="auto"/>
          <w:sz w:val="22"/>
          <w:u w:val="single"/>
        </w:rPr>
        <w:t xml:space="preserve">Form of Letter of Credit </w:t>
      </w:r>
      <w:r>
        <w:rPr>
          <w:color w:val="auto"/>
          <w:sz w:val="22"/>
        </w:rPr>
        <w:t>.  The form of letter of credit is relatively straight forward two-page document for which I have no specific comments.</w:t>
      </w:r>
    </w:p>
    <w:p>
      <w:pPr>
        <w:pStyle w:val="Body"/>
        <w:spacing w:before="120" w:after="0"/>
        <w:jc w:val="both"/>
        <w:rPr>
          <w:color w:val="auto"/>
          <w:sz w:val="22"/>
        </w:rPr>
      </w:pPr>
      <w:r>
        <w:rPr>
          <w:color w:val="auto"/>
          <w:sz w:val="22"/>
        </w:rPr>
      </w:r>
    </w:p>
    <w:p>
      <w:pPr>
        <w:pStyle w:val="Body"/>
        <w:spacing w:before="120" w:after="0"/>
        <w:jc w:val="both"/>
        <w:rPr>
          <w:b/>
          <w:color w:val="auto"/>
          <w:sz w:val="22"/>
        </w:rPr>
      </w:pPr>
      <w:r>
        <w:rPr>
          <w:b/>
          <w:color w:val="auto"/>
          <w:sz w:val="22"/>
        </w:rPr>
        <w:t>Background</w:t>
      </w:r>
    </w:p>
    <w:p>
      <w:pPr>
        <w:pStyle w:val="Body"/>
        <w:spacing w:before="120" w:after="0"/>
        <w:jc w:val="both"/>
        <w:rPr>
          <w:color w:val="auto"/>
          <w:sz w:val="22"/>
        </w:rPr>
      </w:pPr>
      <w:r>
        <w:rPr>
          <w:color w:val="auto"/>
          <w:sz w:val="22"/>
        </w:rPr>
        <w:t>Under the provisions of the Auction Rules and the Participation Agreement, Enron Canada will be required to provide a bid deposit as a form of performance assurance as well as to establish the number of "eligibility points" it will have at the start of the Auction.   This bid deposit can be in the form of a cash deposit or a letter of credit.  Any letter of credit provided is to be irrevocable and is not to expire prior to October 31, 2000.  The bid deposit must be posted by 5:00 p.m. (M.D.T.) on June 12, 2000.</w:t>
      </w:r>
    </w:p>
    <w:p>
      <w:pPr>
        <w:pStyle w:val="Body"/>
        <w:spacing w:before="120" w:after="0"/>
        <w:jc w:val="both"/>
        <w:rPr>
          <w:color w:val="auto"/>
          <w:sz w:val="22"/>
        </w:rPr>
      </w:pPr>
      <w:r>
        <w:rPr>
          <w:color w:val="auto"/>
          <w:sz w:val="22"/>
        </w:rPr>
        <w:t xml:space="preserve">According to the Draft Rules (subsection 3.6), Participation Agreement (subsection 5.1) and Regulation (section 14), the amounts owing by Enron Canada with respect to winning bids or any penalties or default payments imposed on Enron Canada are to be deducted from the collateral posted (unless an alternative mode of payment is mutually agreed upon).  </w:t>
      </w:r>
    </w:p>
    <w:p>
      <w:pPr>
        <w:pStyle w:val="Body"/>
        <w:spacing w:before="120" w:after="0"/>
        <w:jc w:val="both"/>
        <w:rPr>
          <w:color w:val="auto"/>
          <w:sz w:val="22"/>
        </w:rPr>
      </w:pPr>
      <w:r>
        <w:rPr>
          <w:color w:val="auto"/>
          <w:sz w:val="22"/>
        </w:rPr>
        <w:t>With respect to cash bid deposits, all refunds owing to a participant (after deducting the cost of winning bids, penalties and default payments from the cash deposits) are to be returned to the participant not later than 30 days from the date that the winning bidders have been notified of their success.   However, I could locate no provisions in the Regulation, Participation Agreement or Draft Rules which would allow for the revocation of a letter of credit prior to October 31, 2000.</w:t>
      </w:r>
    </w:p>
    <w:p>
      <w:pPr>
        <w:pStyle w:val="Body"/>
        <w:spacing w:before="120" w:after="0"/>
        <w:ind w:start="0" w:end="0"/>
        <w:jc w:val="both"/>
        <w:rPr>
          <w:color w:val="auto"/>
          <w:sz w:val="22"/>
        </w:rPr>
      </w:pPr>
      <w:r>
        <w:rPr>
          <w:color w:val="auto"/>
          <w:sz w:val="22"/>
        </w:rPr>
      </w:r>
    </w:p>
    <w:p>
      <w:pPr>
        <w:pStyle w:val="Body"/>
        <w:numPr>
          <w:ilvl w:val="0"/>
          <w:numId w:val="2"/>
        </w:numPr>
        <w:spacing w:before="120" w:after="0"/>
        <w:jc w:val="both"/>
        <w:rPr>
          <w:b/>
          <w:color w:val="auto"/>
          <w:sz w:val="22"/>
        </w:rPr>
      </w:pPr>
      <w:r>
        <w:rPr>
          <w:b/>
          <w:color w:val="auto"/>
          <w:sz w:val="22"/>
        </w:rPr>
        <w:t>Penalties</w:t>
      </w:r>
    </w:p>
    <w:p>
      <w:pPr>
        <w:pStyle w:val="Body"/>
        <w:spacing w:before="120" w:after="0"/>
        <w:jc w:val="both"/>
        <w:rPr/>
      </w:pPr>
      <w:r>
        <w:rPr>
          <w:color w:val="auto"/>
          <w:sz w:val="22"/>
        </w:rPr>
        <w:t xml:space="preserve">The most significant legal issue relating to whether or not a letter of credit will be refundable relates to the penalty provisions.  According to section 4 of the Regulation, the Minister and the Director are empowered to establish "any default or penalty provisions relating to participation" in the Auction </w:t>
      </w:r>
      <w:r>
        <w:rPr>
          <w:color w:val="auto"/>
          <w:sz w:val="22"/>
          <w:u w:val="single"/>
        </w:rPr>
        <w:t>provided that such default or penalty provision is established in advance of the Auction</w:t>
      </w:r>
      <w:r>
        <w:rPr>
          <w:color w:val="auto"/>
          <w:sz w:val="22"/>
        </w:rPr>
        <w:t xml:space="preserve">.  </w:t>
      </w:r>
    </w:p>
    <w:p>
      <w:pPr>
        <w:pStyle w:val="Body"/>
        <w:spacing w:before="120" w:after="0"/>
        <w:jc w:val="both"/>
        <w:rPr>
          <w:color w:val="auto"/>
          <w:sz w:val="22"/>
        </w:rPr>
      </w:pPr>
      <w:r>
        <w:rPr>
          <w:color w:val="auto"/>
          <w:sz w:val="22"/>
        </w:rPr>
        <w:t xml:space="preserve">It is my understanding that the Auction is scheduled to commence on July 5, 2000.  As a result, Enron Canada will be required to submit a bid deposit three weeks in advance of knowing with certainty the potential default payments or penalties which may be applied to such deposit.  </w:t>
      </w:r>
    </w:p>
    <w:p>
      <w:pPr>
        <w:pStyle w:val="Body"/>
        <w:spacing w:before="120" w:after="0"/>
        <w:jc w:val="both"/>
        <w:rPr>
          <w:color w:val="auto"/>
          <w:sz w:val="22"/>
        </w:rPr>
      </w:pPr>
      <w:r>
        <w:rPr>
          <w:color w:val="auto"/>
          <w:sz w:val="22"/>
        </w:rPr>
        <w:t xml:space="preserve">At this stage, the relevant documents establish relatively limited penalty provisions.  For example, subsection 3.15 of the Draft Rules specifically states that a bid on a PPA submitted during a round can be cancelled within the same round with "no penalty" and provides specific penalties with respect to the subsequent withdrawal of "standing high" bids that were made in earlier rounds.  According to subsection 3.15 of the Draft Rules, the penalty for withdrawing a standing high bid on a PPA is, essentially, the difference between the amount of the withdrawn standing high bid and the final winning bid for that PPA.  Further, subsection 3.19 of the Draft Rules provides penalty provisions relating to the satisfaction of payment obligations under the Auction (i.e. interest rates imposed on overdue amounts and penalties for failure to complete the transactions).  </w:t>
      </w:r>
    </w:p>
    <w:p>
      <w:pPr>
        <w:pStyle w:val="Body"/>
        <w:spacing w:before="120" w:after="0"/>
        <w:jc w:val="both"/>
        <w:rPr>
          <w:color w:val="auto"/>
          <w:sz w:val="22"/>
        </w:rPr>
      </w:pPr>
      <w:r>
        <w:rPr>
          <w:color w:val="auto"/>
          <w:sz w:val="22"/>
        </w:rPr>
        <w:t>The existing penalty provisions appear rather limited in scope.  Nevertheless, the facts that the Draft Rules have yet to be finalized and the Minister and Director have (at least) until the commencement of the Auction to establish additional penalties establish risk.</w:t>
      </w:r>
    </w:p>
    <w:p>
      <w:pPr>
        <w:pStyle w:val="Body"/>
        <w:spacing w:before="120" w:after="0"/>
        <w:jc w:val="both"/>
        <w:rPr>
          <w:color w:val="auto"/>
          <w:sz w:val="22"/>
        </w:rPr>
      </w:pPr>
      <w:r>
        <w:rPr>
          <w:color w:val="auto"/>
          <w:sz w:val="22"/>
        </w:rPr>
        <w:t>Please note that subsection 7.3 of the Participation Agreement specifically states that a participant is "under no obligation to submit a bid at the Auction" (although, Enron Canada's eligibility to submit bids in subsequent rounds may be lost or reduced by failing to bid).  However, as will be discussed in greater detail below with respect to "additional uncertainty", the paramountcy provisions of the Participation Agreement appear to allow the Minister the option to override subsection 7.3 of the Participation Agreement.</w:t>
      </w:r>
    </w:p>
    <w:p>
      <w:pPr>
        <w:pStyle w:val="Body"/>
        <w:spacing w:before="120" w:after="0"/>
        <w:jc w:val="both"/>
        <w:rPr>
          <w:color w:val="auto"/>
          <w:sz w:val="22"/>
        </w:rPr>
      </w:pPr>
      <w:r>
        <w:rPr>
          <w:color w:val="auto"/>
          <w:sz w:val="22"/>
        </w:rPr>
      </w:r>
    </w:p>
    <w:p>
      <w:pPr>
        <w:pStyle w:val="Body"/>
        <w:numPr>
          <w:ilvl w:val="0"/>
          <w:numId w:val="2"/>
        </w:numPr>
        <w:spacing w:before="120" w:after="0"/>
        <w:rPr>
          <w:b/>
          <w:color w:val="auto"/>
          <w:sz w:val="22"/>
        </w:rPr>
      </w:pPr>
      <w:r>
        <w:rPr>
          <w:b/>
          <w:color w:val="auto"/>
          <w:sz w:val="22"/>
        </w:rPr>
        <w:t>Additional Uncertainty</w:t>
        <w:br/>
      </w:r>
    </w:p>
    <w:p>
      <w:pPr>
        <w:pStyle w:val="Body"/>
        <w:jc w:val="both"/>
        <w:rPr>
          <w:color w:val="auto"/>
          <w:sz w:val="22"/>
        </w:rPr>
      </w:pPr>
      <w:r>
        <w:rPr>
          <w:color w:val="auto"/>
          <w:sz w:val="22"/>
        </w:rPr>
        <w:t>The  combination of the interpretation provisions contained in the Participation Agreement (subsection 1.11) and the Draft Rules (subsection 1.1.3) create additional uncertainty issues concerning the Auction Rules.  For example, subsection 1.11(a) of the Participation Agreement states,</w:t>
      </w:r>
    </w:p>
    <w:p>
      <w:pPr>
        <w:pStyle w:val="Body"/>
        <w:jc w:val="both"/>
        <w:rPr>
          <w:color w:val="auto"/>
          <w:sz w:val="22"/>
        </w:rPr>
      </w:pPr>
      <w:r>
        <w:rPr>
          <w:color w:val="auto"/>
          <w:sz w:val="22"/>
        </w:rPr>
      </w:r>
    </w:p>
    <w:p>
      <w:pPr>
        <w:pStyle w:val="Body"/>
        <w:ind w:start="720" w:end="0"/>
        <w:jc w:val="both"/>
        <w:rPr>
          <w:color w:val="auto"/>
          <w:sz w:val="22"/>
        </w:rPr>
      </w:pPr>
      <w:r>
        <w:rPr>
          <w:color w:val="auto"/>
          <w:sz w:val="22"/>
        </w:rPr>
        <w:t>In the event of any inconsistency or conflict between the provisions set forth in this Agreement and the provisions set forth in the Act or the Regulations, the provisions set forth in the Act or the Regulations, as the case may be shall prevail and take precedence.</w:t>
      </w:r>
    </w:p>
    <w:p>
      <w:pPr>
        <w:pStyle w:val="Body"/>
        <w:jc w:val="both"/>
        <w:rPr>
          <w:color w:val="auto"/>
          <w:sz w:val="22"/>
        </w:rPr>
      </w:pPr>
      <w:r>
        <w:rPr>
          <w:color w:val="auto"/>
          <w:sz w:val="22"/>
        </w:rPr>
      </w:r>
    </w:p>
    <w:p>
      <w:pPr>
        <w:pStyle w:val="Body"/>
        <w:jc w:val="both"/>
        <w:rPr>
          <w:color w:val="auto"/>
          <w:sz w:val="22"/>
        </w:rPr>
      </w:pPr>
      <w:r>
        <w:rPr>
          <w:color w:val="auto"/>
          <w:sz w:val="22"/>
        </w:rPr>
        <w:t>Further, the terms "Act" and  "Regulations" are defined in subsection 1.1 of the Participation Agreement as follows,</w:t>
      </w:r>
    </w:p>
    <w:p>
      <w:pPr>
        <w:pStyle w:val="Body"/>
        <w:jc w:val="both"/>
        <w:rPr>
          <w:color w:val="auto"/>
          <w:sz w:val="22"/>
        </w:rPr>
      </w:pPr>
      <w:r>
        <w:rPr>
          <w:color w:val="auto"/>
          <w:sz w:val="22"/>
        </w:rPr>
      </w:r>
    </w:p>
    <w:p>
      <w:pPr>
        <w:pStyle w:val="Body"/>
        <w:jc w:val="both"/>
        <w:rPr>
          <w:color w:val="auto"/>
          <w:sz w:val="22"/>
        </w:rPr>
      </w:pPr>
      <w:r>
        <w:rPr>
          <w:color w:val="auto"/>
          <w:sz w:val="22"/>
        </w:rPr>
        <w:tab/>
        <w:t>"Act" means the Electric Utilities Act, S.A. 1995, c.E-5.5, as amended;</w:t>
      </w:r>
    </w:p>
    <w:p>
      <w:pPr>
        <w:pStyle w:val="Body"/>
        <w:jc w:val="both"/>
        <w:rPr>
          <w:color w:val="auto"/>
          <w:sz w:val="22"/>
        </w:rPr>
      </w:pPr>
      <w:r>
        <w:rPr>
          <w:color w:val="auto"/>
          <w:sz w:val="22"/>
        </w:rPr>
      </w:r>
    </w:p>
    <w:p>
      <w:pPr>
        <w:pStyle w:val="Body"/>
        <w:ind w:start="717" w:end="0"/>
        <w:jc w:val="both"/>
        <w:rPr>
          <w:color w:val="auto"/>
          <w:sz w:val="22"/>
        </w:rPr>
      </w:pPr>
      <w:r>
        <w:rPr>
          <w:color w:val="auto"/>
          <w:sz w:val="22"/>
        </w:rPr>
        <w:t>and</w:t>
      </w:r>
    </w:p>
    <w:p>
      <w:pPr>
        <w:pStyle w:val="Body"/>
        <w:ind w:start="717" w:end="0"/>
        <w:jc w:val="both"/>
        <w:rPr>
          <w:color w:val="auto"/>
          <w:sz w:val="22"/>
        </w:rPr>
      </w:pPr>
      <w:r>
        <w:rPr>
          <w:color w:val="auto"/>
          <w:sz w:val="22"/>
        </w:rPr>
      </w:r>
    </w:p>
    <w:p>
      <w:pPr>
        <w:pStyle w:val="Body"/>
        <w:ind w:start="717" w:end="0"/>
        <w:jc w:val="both"/>
        <w:rPr>
          <w:color w:val="auto"/>
          <w:sz w:val="22"/>
        </w:rPr>
      </w:pPr>
      <w:r>
        <w:rPr>
          <w:color w:val="auto"/>
          <w:sz w:val="22"/>
        </w:rPr>
        <w:t>"Regulations" means the PPA Auction Regulation and all other regulations promulgated under the Act or under any other legislation having application to the PPAs, this Agreement, the PPA Auction Process or any of the subject matter hereof.</w:t>
      </w:r>
    </w:p>
    <w:p>
      <w:pPr>
        <w:pStyle w:val="Body"/>
        <w:jc w:val="both"/>
        <w:rPr>
          <w:color w:val="auto"/>
          <w:sz w:val="22"/>
        </w:rPr>
      </w:pPr>
      <w:r>
        <w:rPr>
          <w:color w:val="auto"/>
          <w:sz w:val="22"/>
        </w:rPr>
      </w:r>
    </w:p>
    <w:p>
      <w:pPr>
        <w:pStyle w:val="Body"/>
        <w:jc w:val="both"/>
        <w:rPr>
          <w:color w:val="auto"/>
          <w:sz w:val="22"/>
        </w:rPr>
      </w:pPr>
      <w:r>
        <w:rPr>
          <w:color w:val="auto"/>
          <w:sz w:val="22"/>
        </w:rPr>
        <w:t>As a result, it appears that the terms of the Participation Agreement may be amended by the amendment of the Act or any regulations relating to the Auction.</w:t>
      </w:r>
    </w:p>
    <w:p>
      <w:pPr>
        <w:pStyle w:val="Body"/>
        <w:jc w:val="both"/>
        <w:rPr>
          <w:color w:val="auto"/>
          <w:sz w:val="22"/>
        </w:rPr>
      </w:pPr>
      <w:r>
        <w:rPr>
          <w:color w:val="auto"/>
          <w:sz w:val="22"/>
        </w:rPr>
      </w:r>
    </w:p>
    <w:p>
      <w:pPr>
        <w:pStyle w:val="Body"/>
        <w:jc w:val="both"/>
        <w:rPr>
          <w:color w:val="auto"/>
          <w:sz w:val="22"/>
        </w:rPr>
      </w:pPr>
      <w:r>
        <w:rPr>
          <w:color w:val="auto"/>
          <w:sz w:val="22"/>
        </w:rPr>
        <w:t>Similarly, the Draft Rules include a paramountcy provision in subsection 1.1.3 which states,</w:t>
      </w:r>
    </w:p>
    <w:p>
      <w:pPr>
        <w:pStyle w:val="Body"/>
        <w:jc w:val="both"/>
        <w:rPr>
          <w:color w:val="auto"/>
          <w:sz w:val="22"/>
        </w:rPr>
      </w:pPr>
      <w:r>
        <w:rPr>
          <w:color w:val="auto"/>
          <w:sz w:val="22"/>
        </w:rPr>
      </w:r>
    </w:p>
    <w:p>
      <w:pPr>
        <w:pStyle w:val="Body"/>
        <w:ind w:start="720" w:end="0"/>
        <w:jc w:val="both"/>
        <w:rPr>
          <w:color w:val="auto"/>
          <w:sz w:val="22"/>
        </w:rPr>
      </w:pPr>
      <w:r>
        <w:rPr>
          <w:color w:val="auto"/>
          <w:sz w:val="22"/>
        </w:rPr>
        <w:t>In the event of any inconsistency or conflict between the provisions set forth in this document and the provisions set forth in the EUA, the PPA Auction Regulation or any other Regulation made pursuant to the EUA, the provisions set forth in the EUA, the PPA Auction Regulation, or any other Regulation made pursuant to the EUA, as the case may be shall prevail and take precedence.</w:t>
      </w:r>
    </w:p>
    <w:p>
      <w:pPr>
        <w:pStyle w:val="Body"/>
        <w:jc w:val="both"/>
        <w:rPr>
          <w:color w:val="auto"/>
          <w:sz w:val="22"/>
        </w:rPr>
      </w:pPr>
      <w:r>
        <w:rPr>
          <w:color w:val="auto"/>
          <w:sz w:val="22"/>
        </w:rPr>
      </w:r>
    </w:p>
    <w:p>
      <w:pPr>
        <w:pStyle w:val="Body"/>
        <w:ind w:start="90" w:end="0"/>
        <w:jc w:val="both"/>
        <w:rPr>
          <w:color w:val="auto"/>
          <w:sz w:val="22"/>
        </w:rPr>
      </w:pPr>
      <w:r>
        <w:rPr>
          <w:color w:val="auto"/>
          <w:sz w:val="22"/>
        </w:rPr>
        <w:t xml:space="preserve">As a result, the terms which will govern a letter of credit submitted pursuant to the Auction may be subject to change.  For example, section 4 of the Participation Agreement, which requires the Minister or Director to establish penalties prior to the start of the Auction (as described above), could potentially be amended after the fact. </w:t>
      </w:r>
    </w:p>
    <w:p>
      <w:pPr>
        <w:pStyle w:val="Body"/>
        <w:ind w:start="90" w:end="0"/>
        <w:jc w:val="both"/>
        <w:rPr>
          <w:color w:val="auto"/>
          <w:sz w:val="22"/>
        </w:rPr>
      </w:pPr>
      <w:r>
        <w:rPr>
          <w:color w:val="auto"/>
          <w:sz w:val="22"/>
        </w:rPr>
      </w:r>
    </w:p>
    <w:p>
      <w:pPr>
        <w:pStyle w:val="Body"/>
        <w:ind w:start="90" w:end="0"/>
        <w:jc w:val="both"/>
        <w:rPr>
          <w:color w:val="auto"/>
          <w:sz w:val="22"/>
        </w:rPr>
      </w:pPr>
      <w:r>
        <w:rPr>
          <w:color w:val="auto"/>
          <w:sz w:val="22"/>
        </w:rPr>
        <w:t>As Peter Keohane noted in a recent risk assessment memo, although there are established principles of administrative law which require governments and their representatives to act in good faith and in an administratively fair manner, generally speaking these obligations are procedural in nature and are broadly defined, allowing much scope to the government or its representatives to act as they see fit.   As a result, Enron Canada cannot be certain as to the terms which will govern the letter of credit.</w:t>
      </w:r>
    </w:p>
    <w:p>
      <w:pPr>
        <w:pStyle w:val="Body"/>
        <w:ind w:start="90" w:end="0"/>
        <w:jc w:val="both"/>
        <w:rPr>
          <w:color w:val="auto"/>
          <w:sz w:val="22"/>
        </w:rPr>
      </w:pPr>
      <w:r>
        <w:rPr>
          <w:color w:val="auto"/>
          <w:sz w:val="22"/>
        </w:rPr>
      </w:r>
    </w:p>
    <w:p>
      <w:pPr>
        <w:pStyle w:val="Body"/>
        <w:ind w:start="90" w:end="0"/>
        <w:jc w:val="both"/>
        <w:rPr>
          <w:color w:val="auto"/>
          <w:sz w:val="22"/>
        </w:rPr>
      </w:pPr>
      <w:r>
        <w:rPr>
          <w:color w:val="auto"/>
          <w:sz w:val="22"/>
        </w:rPr>
      </w:r>
    </w:p>
    <w:p>
      <w:pPr>
        <w:pStyle w:val="Body"/>
        <w:numPr>
          <w:ilvl w:val="0"/>
          <w:numId w:val="2"/>
        </w:numPr>
        <w:spacing w:before="120" w:after="0"/>
        <w:jc w:val="both"/>
        <w:rPr>
          <w:b/>
          <w:color w:val="auto"/>
          <w:sz w:val="22"/>
        </w:rPr>
      </w:pPr>
      <w:r>
        <w:rPr>
          <w:b/>
          <w:color w:val="auto"/>
          <w:sz w:val="22"/>
        </w:rPr>
        <w:t>Dispute Resolution</w:t>
      </w:r>
    </w:p>
    <w:p>
      <w:pPr>
        <w:pStyle w:val="Body"/>
        <w:spacing w:before="120" w:after="0"/>
        <w:jc w:val="both"/>
        <w:rPr>
          <w:color w:val="auto"/>
          <w:sz w:val="22"/>
        </w:rPr>
      </w:pPr>
      <w:r>
        <w:rPr>
          <w:color w:val="auto"/>
          <w:sz w:val="22"/>
        </w:rPr>
        <w:t>In addition to the uncertainty described above, certain dispute resolution provisions in the Participation Agreement create additional risk.  In the event that Enron Canada and either the Minister, Director or CRA disagree as to the meaning, effect, or interpretation of the Auction Rules, the Participation Agreement states that the Minister may make the final determination on the issue.  More specifically, subsection 3.1 of the Participation Agreement states,</w:t>
      </w:r>
    </w:p>
    <w:p>
      <w:pPr>
        <w:pStyle w:val="Body"/>
        <w:spacing w:before="120" w:after="0"/>
        <w:ind w:start="717" w:end="0"/>
        <w:jc w:val="both"/>
        <w:rPr/>
      </w:pPr>
      <w:r>
        <w:rPr>
          <w:color w:val="auto"/>
          <w:sz w:val="22"/>
        </w:rPr>
        <w:t xml:space="preserve">The parties agree that the Auction shall be conducted in accordance with the Auction Rules.  </w:t>
      </w:r>
      <w:r>
        <w:rPr>
          <w:color w:val="auto"/>
          <w:sz w:val="22"/>
          <w:u w:val="single"/>
        </w:rPr>
        <w:t>In the event of any disagreement or dispute during the PPA Auction Process with respect to the meaning or the interpretation or the effect of any of the Auction Rules, the decision or determination of Alberta as to the meaning, interpretation or effect thereof, shall be binding upon the parties to this Agreement and all other Persons participating in the Auction.</w:t>
      </w:r>
      <w:r>
        <w:rPr>
          <w:color w:val="auto"/>
          <w:sz w:val="22"/>
        </w:rPr>
        <w:t xml:space="preserve">  (Emphasis added.)</w:t>
      </w:r>
    </w:p>
    <w:p>
      <w:pPr>
        <w:pStyle w:val="Body"/>
        <w:spacing w:before="120" w:after="0"/>
        <w:ind w:start="90" w:end="0"/>
        <w:jc w:val="both"/>
        <w:rPr>
          <w:color w:val="auto"/>
          <w:sz w:val="22"/>
        </w:rPr>
      </w:pPr>
      <w:r>
        <w:rPr>
          <w:color w:val="auto"/>
          <w:sz w:val="22"/>
        </w:rPr>
        <w:t>With respect to disputes which arise during the course of the Auction, subsection 7.6 of the Participation Agreement states,</w:t>
      </w:r>
    </w:p>
    <w:p>
      <w:pPr>
        <w:pStyle w:val="Body"/>
        <w:spacing w:before="120" w:after="0"/>
        <w:ind w:start="720" w:end="0"/>
        <w:jc w:val="both"/>
        <w:rPr>
          <w:color w:val="auto"/>
          <w:sz w:val="22"/>
        </w:rPr>
      </w:pPr>
      <w:r>
        <w:rPr>
          <w:color w:val="auto"/>
          <w:sz w:val="22"/>
        </w:rPr>
        <w:t>The Participant acknowledges that Alberta will be acting as the auctioneer of the Auction.  During the course of the Auction, all decisions made by Alberta, including without limitation, decisions relating to the conduct of the Auction, the Auction Rules, or any other dispute arising during the course of the Auction, shall be final and binding on the parties, and the Auction shall proceed in accordance with the decisions made by Alberta.</w:t>
      </w:r>
    </w:p>
    <w:p>
      <w:pPr>
        <w:pStyle w:val="Body"/>
        <w:spacing w:before="120" w:after="0"/>
        <w:ind w:start="90" w:end="0"/>
        <w:jc w:val="both"/>
        <w:rPr>
          <w:color w:val="auto"/>
          <w:sz w:val="22"/>
        </w:rPr>
      </w:pPr>
      <w:r>
        <w:rPr>
          <w:color w:val="auto"/>
          <w:sz w:val="22"/>
        </w:rPr>
        <w:t>The power to make final determinations relating to the Auction is provided to CRA through the combination of subsection 1.3 of the Participation Agreement and the definition of "Alberta" found in the Participation Agreement.  Subsection 1.3 of the Participation Agreement states,</w:t>
      </w:r>
    </w:p>
    <w:p>
      <w:pPr>
        <w:pStyle w:val="Body"/>
        <w:spacing w:before="120" w:after="0"/>
        <w:ind w:start="720" w:end="0"/>
        <w:jc w:val="both"/>
        <w:rPr>
          <w:color w:val="auto"/>
          <w:sz w:val="22"/>
        </w:rPr>
      </w:pPr>
      <w:r>
        <w:rPr>
          <w:color w:val="auto"/>
          <w:sz w:val="22"/>
        </w:rPr>
        <w:t>All notices, announcements, determinations, acts, consents, approvals and other decisions relating to the PPA Auction Process and which are herein required or permitted to be made, provided, performed or determined by Alberta, may be made, provided, performed or determined by CRA and any and all documents, and deliveries herein required to be delivered by the Participant to Alberta or by Alberta to Participant, may be made to or by CRA.</w:t>
      </w:r>
    </w:p>
    <w:p>
      <w:pPr>
        <w:pStyle w:val="Body"/>
        <w:spacing w:before="120" w:after="0"/>
        <w:ind w:start="90" w:end="0"/>
        <w:jc w:val="both"/>
        <w:rPr>
          <w:color w:val="auto"/>
          <w:sz w:val="22"/>
        </w:rPr>
      </w:pPr>
      <w:r>
        <w:rPr>
          <w:color w:val="auto"/>
          <w:sz w:val="22"/>
        </w:rPr>
        <w:t>"Alberta" is defined in the Participation Agreement as "Her Majesty the Queen in the Right of Alberta as represented by the Minister of Resource Development".</w:t>
      </w:r>
    </w:p>
    <w:p>
      <w:pPr>
        <w:pStyle w:val="Body"/>
        <w:spacing w:before="120" w:after="0"/>
        <w:ind w:start="90" w:end="0"/>
        <w:jc w:val="both"/>
        <w:rPr>
          <w:color w:val="auto"/>
          <w:sz w:val="22"/>
        </w:rPr>
      </w:pPr>
      <w:r>
        <w:rPr>
          <w:color w:val="auto"/>
          <w:sz w:val="22"/>
        </w:rPr>
        <w:t>Finally, section 12 of the Regulation expressly states that the decision of the Minister in all matters relating to the Auction is final.</w:t>
      </w:r>
    </w:p>
    <w:p>
      <w:pPr>
        <w:pStyle w:val="Body"/>
        <w:spacing w:before="120" w:after="0"/>
        <w:ind w:start="90" w:end="0"/>
        <w:jc w:val="both"/>
        <w:rPr>
          <w:color w:val="auto"/>
          <w:sz w:val="22"/>
        </w:rPr>
      </w:pPr>
      <w:r>
        <w:rPr>
          <w:color w:val="auto"/>
          <w:sz w:val="22"/>
        </w:rPr>
        <w:t>As a result of the above-mentioned provisions,  Enron Canada is likely to be at a significant disadvantage  in the event that Enron Canada has a dispute with the Minister, the Director or CRA with respect to whether or not the funds represented by the letter of credit are refundable.</w:t>
      </w:r>
    </w:p>
    <w:p>
      <w:pPr>
        <w:pStyle w:val="Body"/>
        <w:spacing w:before="120" w:after="0"/>
        <w:ind w:start="90" w:end="0"/>
        <w:jc w:val="center"/>
        <w:rPr>
          <w:color w:val="auto"/>
          <w:sz w:val="22"/>
        </w:rPr>
      </w:pPr>
      <w:r>
        <w:rPr>
          <w:color w:val="auto"/>
          <w:sz w:val="22"/>
        </w:rPr>
        <w:t>* * * * *</w:t>
      </w:r>
    </w:p>
    <w:p>
      <w:pPr>
        <w:pStyle w:val="Body"/>
        <w:spacing w:before="120" w:after="0"/>
        <w:ind w:start="90" w:end="0"/>
        <w:jc w:val="both"/>
        <w:rPr>
          <w:color w:val="auto"/>
          <w:sz w:val="22"/>
        </w:rPr>
      </w:pPr>
      <w:r>
        <w:rPr>
          <w:color w:val="auto"/>
          <w:sz w:val="22"/>
        </w:rPr>
        <w:t>I trust that the foregoing memo is satisfactory for your needs.  Should you have any questions or require anything further, please do not hesitate to give me a call.  I can be reached directly at (403) 974-6708.</w:t>
      </w:r>
    </w:p>
    <w:p>
      <w:pPr>
        <w:pStyle w:val="Body"/>
        <w:spacing w:before="120" w:after="120"/>
        <w:jc w:val="both"/>
        <w:rPr>
          <w:color w:val="auto"/>
          <w:sz w:val="22"/>
        </w:rPr>
      </w:pPr>
      <w:r>
        <w:rPr>
          <w:color w:val="auto"/>
          <w:sz w:val="22"/>
        </w:rPr>
      </w:r>
    </w:p>
    <w:p>
      <w:pPr>
        <w:pStyle w:val="Body"/>
        <w:spacing w:before="120" w:after="120"/>
        <w:jc w:val="both"/>
        <w:rPr>
          <w:color w:val="auto"/>
          <w:sz w:val="22"/>
        </w:rPr>
      </w:pPr>
      <w:r>
        <w:rPr>
          <w:color w:val="auto"/>
          <w:sz w:val="22"/>
        </w:rPr>
        <w:t>Regards, Mark</w:t>
      </w:r>
    </w:p>
    <w:sectPr>
      <w:headerReference w:type="default" r:id="rId3"/>
      <w:headerReference w:type="first" r:id="rId4"/>
      <w:footerReference w:type="default" r:id="rId5"/>
      <w:footerReference w:type="first" r:id="rId6"/>
      <w:type w:val="nextPage"/>
      <w:pgSz w:w="12240" w:h="15840"/>
      <w:pgMar w:left="1440" w:right="1440" w:gutter="0" w:header="720" w:top="776" w:footer="360" w:bottom="72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altName w:val="Arial"/>
    <w:charset w:val="00" w:characterSet="windows-1252"/>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0"/>
      </w:pBdr>
      <w:tabs>
        <w:tab w:val="clear" w:pos="4320"/>
        <w:tab w:val="clear" w:pos="8640"/>
        <w:tab w:val="left" w:pos="2790" w:leader="none"/>
        <w:tab w:val="left" w:pos="5040" w:leader="none"/>
        <w:tab w:val="left" w:pos="6840" w:leader="none"/>
        <w:tab w:val="right" w:pos="10800" w:leader="none"/>
      </w:tabs>
      <w:rPr>
        <w:b/>
        <w:sz w:val="16"/>
      </w:rPr>
    </w:pPr>
    <w:r>
      <w:rPr>
        <w:b/>
        <w:sz w:val="16"/>
      </w:rPr>
      <w:t>Respect</w:t>
      <w:tab/>
      <w:t>Integrity</w:t>
      <w:tab/>
      <w:t>Communication</w:t>
      <w:tab/>
      <w:t>Excellence</w:t>
    </w:r>
  </w:p>
  <w:p>
    <w:pPr>
      <w:pStyle w:val="Footer"/>
      <w:tabs>
        <w:tab w:val="clear" w:pos="4320"/>
        <w:tab w:val="left" w:pos="3780" w:leader="none"/>
        <w:tab w:val="center" w:pos="7560" w:leader="none"/>
        <w:tab w:val="right" w:pos="8640" w:leader="none"/>
        <w:tab w:val="right" w:pos="10800" w:leader="none"/>
      </w:tabs>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/mnt/main-storage/datasets/enron-docs/doc/memo_1_e_.doc</w:t>
    </w:r>
    <w:r>
      <w:rPr>
        <w:sz w:val="16"/>
        <w:rFonts w:cs="Arial Narrow" w:ascii="Arial Narrow" w:hAnsi="Arial Narrow"/>
      </w:rPr>
      <w:fldChar w:fldCharType="end"/>
    </w:r>
    <w:r>
      <w:rPr>
        <w:rFonts w:cs="Arial Narrow" w:ascii="Arial Narrow" w:hAnsi="Arial Narrow"/>
        <w:sz w:val="16"/>
      </w:rPr>
      <w:tab/>
      <w:tab/>
    </w:r>
    <w:r>
      <w:rPr>
        <w:rFonts w:cs="Arial Narrow" w:ascii="Arial Narrow" w:hAnsi="Arial Narrow"/>
        <w:sz w:val="16"/>
      </w:rPr>
      <w:fldChar w:fldCharType="begin"/>
    </w:r>
    <w:r>
      <w:rPr>
        <w:sz w:val="16"/>
        <w:rFonts w:cs="Arial Narrow" w:ascii="Arial Narrow" w:hAnsi="Arial Narrow"/>
      </w:rPr>
      <w:instrText xml:space="preserve"> DATE \@"MMMM\ d', 'yyyy" </w:instrText>
    </w:r>
    <w:r>
      <w:rPr>
        <w:sz w:val="16"/>
        <w:rFonts w:cs="Arial Narrow" w:ascii="Arial Narrow" w:hAnsi="Arial Narrow"/>
      </w:rPr>
      <w:fldChar w:fldCharType="separate"/>
    </w:r>
    <w:r>
      <w:rPr>
        <w:sz w:val="16"/>
        <w:rFonts w:cs="Arial Narrow" w:ascii="Arial Narrow" w:hAnsi="Arial Narrow"/>
      </w:rPr>
      <w:t>September 28, 2025</w:t>
    </w:r>
    <w:r>
      <w:rPr>
        <w:sz w:val="16"/>
        <w:rFonts w:cs="Arial Narrow" w:ascii="Arial Narrow" w:hAnsi="Arial Narrow"/>
      </w:rPr>
      <w:fldChar w:fldCharType="end"/>
    </w:r>
    <w:r>
      <w:rPr>
        <w:rFonts w:cs="Arial Narrow" w:ascii="Arial Narrow" w:hAnsi="Arial Narrow"/>
        <w:sz w:val="16"/>
      </w:rPr>
      <w:t xml:space="preserve">  </w:t>
    </w:r>
    <w:r>
      <w:rPr>
        <w:rFonts w:cs="Arial Narrow" w:ascii="Arial Narrow" w:hAnsi="Arial Narrow"/>
        <w:sz w:val="16"/>
      </w:rPr>
      <w:fldChar w:fldCharType="begin"/>
    </w:r>
    <w:r>
      <w:rPr>
        <w:sz w:val="16"/>
        <w:rFonts w:cs="Arial Narrow" w:ascii="Arial Narrow" w:hAnsi="Arial Narrow"/>
      </w:rPr>
      <w:instrText xml:space="preserve"> DATE \@"M/d/yyyy" </w:instrText>
    </w:r>
    <w:r>
      <w:rPr>
        <w:sz w:val="16"/>
        <w:rFonts w:cs="Arial Narrow" w:ascii="Arial Narrow" w:hAnsi="Arial Narrow"/>
      </w:rPr>
      <w:fldChar w:fldCharType="separate"/>
    </w:r>
    <w:r>
      <w:rPr>
        <w:sz w:val="16"/>
        <w:rFonts w:cs="Arial Narrow" w:ascii="Arial Narrow" w:hAnsi="Arial Narrow"/>
      </w:rPr>
      <w:t>9/28/2025</w:t>
    </w:r>
    <w:r>
      <w:rPr>
        <w:sz w:val="16"/>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0"/>
      </w:pBdr>
      <w:tabs>
        <w:tab w:val="clear" w:pos="4320"/>
        <w:tab w:val="left" w:pos="2430" w:leader="none"/>
        <w:tab w:val="left" w:pos="5310" w:leader="none"/>
        <w:tab w:val="right" w:pos="8640" w:leader="none"/>
        <w:tab w:val="right" w:pos="10800" w:leader="none"/>
      </w:tabs>
      <w:rPr>
        <w:b/>
        <w:sz w:val="16"/>
      </w:rPr>
    </w:pPr>
    <w:r>
      <w:rPr>
        <w:b/>
        <w:sz w:val="16"/>
      </w:rPr>
      <w:t>Respect</w:t>
      <w:tab/>
      <w:t>Integrity</w:t>
      <w:tab/>
      <w:t>Communication</w:t>
      <w:tab/>
      <w:t>Excellence</w:t>
    </w:r>
  </w:p>
  <w:p>
    <w:pPr>
      <w:pStyle w:val="Footer"/>
      <w:tabs>
        <w:tab w:val="clear" w:pos="4320"/>
        <w:tab w:val="clear" w:pos="8640"/>
        <w:tab w:val="left" w:pos="6840" w:leader="none"/>
        <w:tab w:val="right" w:pos="10800" w:leader="none"/>
      </w:tabs>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/mnt/main-storage/datasets/enron-docs/doc/memo_1_e_.doc</w:t>
    </w:r>
    <w:r>
      <w:rPr>
        <w:sz w:val="16"/>
        <w:rFonts w:cs="Arial Narrow" w:ascii="Arial Narrow" w:hAnsi="Arial Narrow"/>
      </w:rPr>
      <w:fldChar w:fldCharType="end"/>
    </w:r>
    <w:r>
      <w:rPr>
        <w:rFonts w:cs="Arial Narrow" w:ascii="Arial Narrow" w:hAnsi="Arial Narrow"/>
        <w:sz w:val="16"/>
      </w:rPr>
      <w:tab/>
    </w:r>
    <w:r>
      <w:rPr>
        <w:rFonts w:cs="Arial Narrow" w:ascii="Arial Narrow" w:hAnsi="Arial Narrow"/>
        <w:sz w:val="16"/>
      </w:rPr>
      <w:fldChar w:fldCharType="begin"/>
    </w:r>
    <w:r>
      <w:rPr>
        <w:sz w:val="16"/>
        <w:rFonts w:cs="Arial Narrow" w:ascii="Arial Narrow" w:hAnsi="Arial Narrow"/>
      </w:rPr>
      <w:instrText xml:space="preserve"> DATE \@"MMMM\ d', 'yyyy" </w:instrText>
    </w:r>
    <w:r>
      <w:rPr>
        <w:sz w:val="16"/>
        <w:rFonts w:cs="Arial Narrow" w:ascii="Arial Narrow" w:hAnsi="Arial Narrow"/>
      </w:rPr>
      <w:fldChar w:fldCharType="separate"/>
    </w:r>
    <w:r>
      <w:rPr>
        <w:sz w:val="16"/>
        <w:rFonts w:cs="Arial Narrow" w:ascii="Arial Narrow" w:hAnsi="Arial Narrow"/>
      </w:rPr>
      <w:t>September 28, 2025</w:t>
    </w:r>
    <w:r>
      <w:rPr>
        <w:sz w:val="16"/>
        <w:rFonts w:cs="Arial Narrow" w:ascii="Arial Narrow" w:hAnsi="Arial Narrow"/>
      </w:rPr>
      <w:fldChar w:fldCharType="end"/>
    </w:r>
    <w:r>
      <w:rPr>
        <w:rFonts w:cs="Arial Narrow" w:ascii="Arial Narrow" w:hAnsi="Arial Narrow"/>
        <w:sz w:val="16"/>
      </w:rPr>
      <w:t xml:space="preserve">  </w:t>
    </w:r>
    <w:r>
      <w:rPr>
        <w:rFonts w:cs="Arial Narrow" w:ascii="Arial Narrow" w:hAnsi="Arial Narrow"/>
        <w:sz w:val="16"/>
      </w:rPr>
      <w:fldChar w:fldCharType="begin"/>
    </w:r>
    <w:r>
      <w:rPr>
        <w:sz w:val="16"/>
        <w:rFonts w:cs="Arial Narrow" w:ascii="Arial Narrow" w:hAnsi="Arial Narrow"/>
      </w:rPr>
      <w:instrText xml:space="preserve"> DATE \@"M/d/yyyy" </w:instrText>
    </w:r>
    <w:r>
      <w:rPr>
        <w:sz w:val="16"/>
        <w:rFonts w:cs="Arial Narrow" w:ascii="Arial Narrow" w:hAnsi="Arial Narrow"/>
      </w:rPr>
      <w:fldChar w:fldCharType="separate"/>
    </w:r>
    <w:r>
      <w:rPr>
        <w:sz w:val="16"/>
        <w:rFonts w:cs="Arial Narrow" w:ascii="Arial Narrow" w:hAnsi="Arial Narrow"/>
      </w:rPr>
      <w:t>9/28/2025</w:t>
    </w:r>
    <w:r>
      <w:rPr>
        <w:sz w:val="16"/>
        <w:rFonts w:cs="Arial Narrow" w:ascii="Arial Narrow" w:hAnsi="Arial Narrow"/>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18"/>
      </w:rPr>
    </w:pPr>
    <w:r>
      <w:rPr>
        <w:sz w:val="18"/>
      </w:rPr>
    </w:r>
  </w:p>
  <w:p>
    <w:pPr>
      <w:pStyle w:val="Header"/>
      <w:jc w:val="end"/>
      <w:rPr>
        <w:sz w:val="18"/>
      </w:rPr>
    </w:pPr>
    <w:r>
      <w:rPr>
        <w:sz w:val="18"/>
      </w:rPr>
      <w:fldChar w:fldCharType="begin"/>
    </w:r>
    <w:r>
      <w:rPr>
        <w:sz w:val="18"/>
      </w:rPr>
      <w:instrText xml:space="preserve"> DATE \@"M/d/yyyy" </w:instrText>
    </w:r>
    <w:r>
      <w:rPr>
        <w:sz w:val="18"/>
      </w:rPr>
      <w:fldChar w:fldCharType="separate"/>
    </w:r>
    <w:r>
      <w:rPr>
        <w:sz w:val="18"/>
      </w:rPr>
      <w:t>9/28/2025</w:t>
    </w:r>
    <w:r>
      <w:rPr>
        <w:sz w:val="18"/>
      </w:rPr>
      <w:fldChar w:fldCharType="end"/>
    </w:r>
  </w:p>
  <w:p>
    <w:pPr>
      <w:pStyle w:val="Header"/>
      <w:jc w:val="end"/>
      <w:rPr>
        <w:sz w:val="18"/>
      </w:rPr>
    </w:pPr>
    <w:r>
      <w:rPr>
        <w:sz w:val="18"/>
      </w:rPr>
      <w:t xml:space="preserve">Page </w:t>
    </w:r>
    <w:r>
      <w:rPr>
        <w:sz w:val="18"/>
      </w:rPr>
      <w:fldChar w:fldCharType="begin"/>
    </w:r>
    <w:r>
      <w:rPr>
        <w:sz w:val="18"/>
      </w:rPr>
      <w:instrText xml:space="preserve"> PAGE </w:instrText>
    </w:r>
    <w:r>
      <w:rPr>
        <w:sz w:val="18"/>
      </w:rPr>
      <w:fldChar w:fldCharType="separate"/>
    </w:r>
    <w:r>
      <w:rPr>
        <w:sz w:val="18"/>
      </w:rPr>
      <w:t>5</w:t>
    </w:r>
    <w:r>
      <w:rPr>
        <w:sz w:val="18"/>
      </w:rPr>
      <w:fldChar w:fldCharType="end"/>
    </w:r>
  </w:p>
  <w:p>
    <w:pPr>
      <w:pStyle w:val="Header"/>
      <w:rPr>
        <w:sz w:val="22"/>
      </w:rPr>
    </w:pPr>
    <w:r>
      <w:rPr>
        <w:sz w:val="22"/>
      </w:rPr>
    </w:r>
  </w:p>
  <w:p>
    <w:pPr>
      <w:pStyle w:val="Header"/>
      <w:pBdr>
        <w:top w:val="single" w:sz="4" w:space="1" w:color="000000"/>
      </w:pBdr>
      <w:rPr>
        <w:sz w:val="22"/>
      </w:rPr>
    </w:pPr>
    <w:r>
      <w:rPr>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-361315</wp:posOffset>
              </wp:positionV>
              <wp:extent cx="3877310" cy="704850"/>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704850"/>
                      </a:xfrm>
                      <a:prstGeom prst="rect"/>
                      <a:solidFill>
                        <a:srgbClr val="FFFFFF">
                          <a:alpha val="0"/>
                        </a:srgbClr>
                      </a:solidFill>
                    </wps:spPr>
                    <wps:txbx>
                      <w:txbxContent>
                        <w:p>
                          <w:pPr>
                            <w:pStyle w:val="Normal"/>
                            <w:ind w:start="3600" w:end="0"/>
                            <w:rPr>
                              <w:b/>
                              <w:sz w:val="32"/>
                            </w:rPr>
                          </w:pPr>
                          <w:r>
                            <w:rPr>
                              <w:b/>
                              <w:sz w:val="32"/>
                            </w:rPr>
                          </w:r>
                        </w:p>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5.5pt;mso-wrap-distance-left:9.35pt;mso-wrap-distance-right:9.35pt;mso-wrap-distance-top:0pt;mso-wrap-distance-bottom:0pt;margin-top:-28.45pt;mso-position-vertical-relative:text;margin-left:201.3pt;mso-position-horizontal-relative:page">
              <v:fill opacity="0f"/>
              <v:textbox inset="0in,0in,0in,0in">
                <w:txbxContent>
                  <w:p>
                    <w:pPr>
                      <w:pStyle w:val="Normal"/>
                      <w:ind w:start="3600" w:end="0"/>
                      <w:rPr>
                        <w:b/>
                        <w:sz w:val="32"/>
                      </w:rPr>
                    </w:pPr>
                    <w:r>
                      <w:rPr>
                        <w:b/>
                        <w:sz w:val="32"/>
                      </w:rPr>
                    </w:r>
                  </w:p>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17"/>
        </w:tabs>
        <w:ind w:start="717" w:hanging="645"/>
      </w:pPr>
      <w:rPr/>
    </w:lvl>
  </w:abstractNum>
  <w:abstractNum w:abstractNumId="3">
    <w:lvl w:ilvl="0">
      <w:start w:val="1"/>
      <w:numFmt w:val="decimal"/>
      <w:lvlText w:val="%1."/>
      <w:lvlJc w:val="start"/>
      <w:pPr>
        <w:tabs>
          <w:tab w:val="num" w:pos="717"/>
        </w:tabs>
        <w:ind w:start="717" w:hanging="645"/>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CG Times (WN);Arial" w:hAnsi="CG Times (WN);Arial" w:cs="CG Times (WN);Arial"/>
      <w:b/>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BodyTextIndent">
    <w:name w:val="Body Text Indent"/>
    <w:basedOn w:val="Normal"/>
    <w:pPr>
      <w:spacing w:lineRule="atLeast" w:line="240"/>
      <w:ind w:hanging="0" w:start="72" w:end="0"/>
      <w:jc w:val="both"/>
    </w:pPr>
    <w:rPr>
      <w:color w:val="000000"/>
      <w:sz w:val="22"/>
      <w:lang w:eastAsia="en-U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Ectmemo.dot</Template>
  <TotalTime>22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2000-06-06T19:35:00Z</dcterms:created>
  <dc:creator>ncappel</dc:creator>
  <dc:description/>
  <dc:language>en-CA</dc:language>
  <cp:lastModifiedBy>ncappel</cp:lastModifiedBy>
  <cp:lastPrinted>2000-06-06T16:28:00Z</cp:lastPrinted>
  <dcterms:modified xsi:type="dcterms:W3CDTF">2000-06-06T19:59:00Z</dcterms:modified>
  <cp:revision>25</cp:revision>
  <dc:subject/>
  <dc:title>Eron Capital &amp; Trade Resources Memo</dc:title>
</cp:coreProperties>
</file>