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Cynthia Sandherr and Steve Kean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Federal Legislation – discussion with Erle Nye (Chairman and CEO of Texas Utilities)   Phone number 214-812-4647</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October 13, 1999</w:t>
            </w:r>
          </w:p>
        </w:tc>
      </w:tr>
    </w:tbl>
    <w:p>
      <w:pPr>
        <w:pStyle w:val="Body"/>
        <w:jc w:val="both"/>
        <w:rPr/>
      </w:pPr>
      <w:r>
        <w:rPr/>
      </w:r>
      <w:bookmarkStart w:id="2" w:name="StartOfMemo"/>
      <w:bookmarkStart w:id="3" w:name="StartOfMemo"/>
      <w:bookmarkEnd w:id="3"/>
    </w:p>
    <w:p>
      <w:pPr>
        <w:pStyle w:val="Body"/>
        <w:ind w:start="0" w:end="0"/>
        <w:jc w:val="both"/>
        <w:rPr>
          <w:b/>
          <w:u w:val="single"/>
        </w:rPr>
      </w:pPr>
      <w:r>
        <w:rPr>
          <w:b/>
          <w:u w:val="single"/>
        </w:rPr>
        <w:t>Background</w:t>
      </w:r>
    </w:p>
    <w:p>
      <w:pPr>
        <w:pStyle w:val="Body"/>
        <w:ind w:start="0" w:end="0"/>
        <w:jc w:val="both"/>
        <w:rPr/>
      </w:pPr>
      <w:r>
        <w:rPr/>
      </w:r>
    </w:p>
    <w:p>
      <w:pPr>
        <w:pStyle w:val="Body"/>
        <w:ind w:start="0" w:end="0"/>
        <w:jc w:val="both"/>
        <w:rPr/>
      </w:pPr>
      <w:r>
        <w:rPr/>
        <w:tab/>
        <w:t>Congressman Barton plans to “mark up” electric restructuring legislation at Subcommittee the week of October 25</w:t>
      </w:r>
      <w:r>
        <w:rPr>
          <w:vertAlign w:val="superscript"/>
        </w:rPr>
        <w:t>th</w:t>
      </w:r>
      <w:r>
        <w:rPr/>
        <w:t>, likely to commence October 27</w:t>
      </w:r>
      <w:r>
        <w:rPr>
          <w:vertAlign w:val="superscript"/>
        </w:rPr>
        <w:t>th</w:t>
      </w:r>
      <w:r>
        <w:rPr/>
        <w:t>.  He has the votes to pass a pro-utility bill with Republicans only.  Congressmen Barton and Hall intend to release a Managers’ Amendment to the bill H.R. 2944 on Monday or Tuesday of next week (this will be the “mark-up” vehicle).  The primary purpose of your call to Erle Nye is to obtain agreement in order for Barton and Hall to include in their Managers’ Amendment an amendment to Section 101 of H.R. 2944.  Betsy Moler offered this Section 101 amendment with her testimony two weeks ago to the Subcommittee on behalf of our national coalition, AAE.  At yesterday’s EEI Washington Reps. meeting, several utility reps. broke ranks and spoke in favor of Moler’s amendment, saying it is good public policy (we understand that John Rowe also said this to you recently in a phone conversation, which is critical since the Speaker and two subcommittee members are from Illinois.)</w:t>
      </w:r>
    </w:p>
    <w:p>
      <w:pPr>
        <w:pStyle w:val="Body"/>
        <w:ind w:start="0" w:end="0"/>
        <w:jc w:val="both"/>
        <w:rPr/>
      </w:pPr>
      <w:r>
        <w:rPr/>
      </w:r>
    </w:p>
    <w:p>
      <w:pPr>
        <w:pStyle w:val="Body"/>
        <w:ind w:start="0" w:end="0"/>
        <w:jc w:val="both"/>
        <w:rPr/>
      </w:pPr>
      <w:r>
        <w:rPr/>
        <w:t>H.R. 2944 currently has several shortcomings from Enron’s perspective, particularly as it relates to “market power” concerns.  In fact, the shortcomings are so severe, we oppose the bill as written.  We have proposed several amendments to address these shortcomings which we will pursue at the subcommittee level, the full committee level, the House floor, in the Senate process, and in the Conference process.</w:t>
      </w:r>
    </w:p>
    <w:p>
      <w:pPr>
        <w:pStyle w:val="Body"/>
        <w:ind w:start="0" w:end="0"/>
        <w:jc w:val="both"/>
        <w:rPr/>
      </w:pPr>
      <w:r>
        <w:rPr/>
      </w:r>
    </w:p>
    <w:p>
      <w:pPr>
        <w:pStyle w:val="Body"/>
        <w:ind w:start="0" w:end="0"/>
        <w:jc w:val="both"/>
        <w:rPr/>
      </w:pPr>
      <w:r>
        <w:rPr/>
        <w:t>However, Barton has offered to consider including our most important amendment to Section 101 of his bill provided that both Enron and TXU can reach agreement.  He wants you and Earl Nye to discuss our issues and report your areas of agreement to him (Barton) ASAP, preferably on or before Monday, October 18</w:t>
      </w:r>
      <w:r>
        <w:rPr>
          <w:vertAlign w:val="superscript"/>
        </w:rPr>
        <w:t>th</w:t>
      </w:r>
      <w:r>
        <w:rPr/>
        <w:t>.</w:t>
      </w:r>
    </w:p>
    <w:p>
      <w:pPr>
        <w:pStyle w:val="Body"/>
        <w:ind w:start="0" w:end="0"/>
        <w:jc w:val="both"/>
        <w:rPr/>
      </w:pPr>
      <w:r>
        <w:rPr/>
      </w:r>
    </w:p>
    <w:p>
      <w:pPr>
        <w:pStyle w:val="Body"/>
        <w:ind w:start="0" w:end="0"/>
        <w:jc w:val="both"/>
        <w:rPr/>
      </w:pPr>
      <w:r>
        <w:rPr/>
        <w:t>In the past, Nye has been difficult on our issues, but several of our items are consistent with language in the Texas legislation so he should have mellowed some (and may even be interested in seeing the rest of the country subject to the same requirements).</w:t>
      </w:r>
    </w:p>
    <w:p>
      <w:pPr>
        <w:pStyle w:val="Body"/>
        <w:ind w:start="0" w:end="0"/>
        <w:jc w:val="both"/>
        <w:rPr/>
      </w:pPr>
      <w:r>
        <w:rPr/>
      </w:r>
    </w:p>
    <w:p>
      <w:pPr>
        <w:pStyle w:val="Body"/>
        <w:ind w:start="0" w:end="0"/>
        <w:jc w:val="both"/>
        <w:rPr>
          <w:b/>
          <w:u w:val="single"/>
        </w:rPr>
      </w:pPr>
      <w:r>
        <w:rPr>
          <w:b/>
          <w:u w:val="single"/>
        </w:rPr>
        <w:t>Issues</w:t>
      </w:r>
    </w:p>
    <w:p>
      <w:pPr>
        <w:pStyle w:val="Body"/>
        <w:ind w:start="0" w:end="0"/>
        <w:jc w:val="both"/>
        <w:rPr/>
      </w:pPr>
      <w:r>
        <w:rPr/>
      </w:r>
    </w:p>
    <w:p>
      <w:pPr>
        <w:pStyle w:val="Body"/>
        <w:ind w:start="0" w:end="0"/>
        <w:jc w:val="both"/>
        <w:rPr/>
      </w:pPr>
      <w:r>
        <w:rPr/>
        <w:t>The following are key issues for discussion:</w:t>
      </w:r>
    </w:p>
    <w:p>
      <w:pPr>
        <w:pStyle w:val="Body"/>
        <w:ind w:start="0" w:end="0"/>
        <w:jc w:val="both"/>
        <w:rPr/>
      </w:pPr>
      <w:r>
        <w:rPr/>
      </w:r>
    </w:p>
    <w:p>
      <w:pPr>
        <w:pStyle w:val="Body"/>
        <w:numPr>
          <w:ilvl w:val="0"/>
          <w:numId w:val="3"/>
        </w:numPr>
        <w:jc w:val="both"/>
        <w:rPr>
          <w:u w:val="single"/>
        </w:rPr>
      </w:pPr>
      <w:r>
        <w:rPr>
          <w:u w:val="single"/>
        </w:rPr>
        <w:t>Equal transmission access and separation of the sales and transmission functions.</w:t>
      </w:r>
    </w:p>
    <w:p>
      <w:pPr>
        <w:pStyle w:val="Body"/>
        <w:ind w:firstLine="720" w:start="0" w:end="0"/>
        <w:jc w:val="both"/>
        <w:rPr>
          <w:u w:val="single"/>
        </w:rPr>
      </w:pPr>
      <w:r>
        <w:rPr/>
        <w:t>(The “Moler” Amendment to Section 101)</w:t>
      </w:r>
    </w:p>
    <w:p>
      <w:pPr>
        <w:pStyle w:val="Body"/>
        <w:jc w:val="both"/>
        <w:rPr>
          <w:u w:val="single"/>
        </w:rPr>
      </w:pPr>
      <w:r>
        <w:rPr>
          <w:u w:val="single"/>
        </w:rPr>
      </w:r>
    </w:p>
    <w:p>
      <w:pPr>
        <w:pStyle w:val="Body"/>
        <w:ind w:firstLine="720" w:start="0" w:end="0"/>
        <w:jc w:val="both"/>
        <w:rPr/>
      </w:pPr>
      <w:r>
        <w:rPr/>
        <w:t>Enron has argued for quite some time that FERC should exercise jurisdiction over all interstate transmission, whether bundled with an end use sale (as in a closed state) or unbundled.  We have argued that all users, utility and nonutility, should be taking service under the same rates, terms and conditions.  We have also argued for separation of the competitive and monopoly businesses (</w:t>
      </w:r>
      <w:r>
        <w:rPr>
          <w:u w:val="single"/>
        </w:rPr>
        <w:t>e.g.</w:t>
      </w:r>
      <w:r>
        <w:rPr/>
        <w:t xml:space="preserve"> transmission and sales).  The legislation needs to do several things in this regard:</w:t>
      </w:r>
    </w:p>
    <w:p>
      <w:pPr>
        <w:pStyle w:val="Body"/>
        <w:ind w:start="720" w:end="0"/>
        <w:jc w:val="both"/>
        <w:rPr/>
      </w:pPr>
      <w:r>
        <w:rPr/>
      </w:r>
    </w:p>
    <w:p>
      <w:pPr>
        <w:pStyle w:val="Body"/>
        <w:numPr>
          <w:ilvl w:val="0"/>
          <w:numId w:val="2"/>
        </w:numPr>
        <w:tabs>
          <w:tab w:val="left" w:pos="1080" w:leader="none"/>
        </w:tabs>
        <w:ind w:hanging="360" w:start="1080" w:end="0"/>
        <w:jc w:val="both"/>
        <w:rPr/>
      </w:pPr>
      <w:r>
        <w:rPr>
          <w:u w:val="single"/>
        </w:rPr>
        <w:t>jurisdiction</w:t>
      </w:r>
      <w:r>
        <w:rPr/>
        <w:t xml:space="preserve"> – the legislation must clearly grant FERC jurisdiction over all interstate transmission, public or private, bundled or unbundled (the bill currently gives the states sole jurisdiction over bundled interstate transmission of electric energy sold at retail).</w:t>
      </w:r>
    </w:p>
    <w:p>
      <w:pPr>
        <w:pStyle w:val="Body"/>
        <w:ind w:start="0" w:end="0"/>
        <w:jc w:val="both"/>
        <w:rPr/>
      </w:pPr>
      <w:r>
        <w:rPr/>
      </w:r>
    </w:p>
    <w:p>
      <w:pPr>
        <w:pStyle w:val="Body"/>
        <w:numPr>
          <w:ilvl w:val="0"/>
          <w:numId w:val="2"/>
        </w:numPr>
        <w:tabs>
          <w:tab w:val="left" w:pos="1080" w:leader="none"/>
        </w:tabs>
        <w:ind w:hanging="360" w:start="1080" w:end="0"/>
        <w:jc w:val="both"/>
        <w:rPr/>
      </w:pPr>
      <w:r>
        <w:rPr>
          <w:u w:val="single"/>
        </w:rPr>
        <w:t>policy</w:t>
      </w:r>
      <w:r>
        <w:rPr/>
        <w:t xml:space="preserve"> – the legislation must require nondiscriminatory transmission access for all uses, separation of utility functions </w:t>
      </w:r>
      <w:r>
        <w:rPr>
          <w:u w:val="single"/>
        </w:rPr>
        <w:t>and</w:t>
      </w:r>
      <w:r>
        <w:rPr/>
        <w:t xml:space="preserve"> an order to FERC to issue rules to make it happen.</w:t>
      </w:r>
    </w:p>
    <w:p>
      <w:pPr>
        <w:pStyle w:val="Body"/>
        <w:ind w:start="0" w:end="0"/>
        <w:jc w:val="both"/>
        <w:rPr/>
      </w:pPr>
      <w:r>
        <w:rPr/>
      </w:r>
    </w:p>
    <w:p>
      <w:pPr>
        <w:pStyle w:val="Body"/>
        <w:ind w:firstLine="648" w:end="0"/>
        <w:jc w:val="both"/>
        <w:rPr/>
      </w:pPr>
      <w:r>
        <w:rPr/>
        <w:t>In today’s wholesale market perhaps 15-20% of the uses on the interstate transmission system are under the open access tariff.  All other uses move outside the tariff.  Because utilities don’t have to use their own open access tariffs (or rely on their own capacity postings on OASIS - - the electronic bulletin board) the service provided to third parties is inferior.  This has substantially limited competition in many regional markets.  For example, public power entities who used to get numerous responses to their RFPs are now getting proposals only from the local transmission owning utility.</w:t>
      </w:r>
    </w:p>
    <w:p>
      <w:pPr>
        <w:pStyle w:val="Body"/>
        <w:ind w:start="720" w:end="0"/>
        <w:jc w:val="both"/>
        <w:rPr/>
      </w:pPr>
      <w:r>
        <w:rPr/>
      </w:r>
    </w:p>
    <w:p>
      <w:pPr>
        <w:pStyle w:val="Body"/>
        <w:ind w:firstLine="648" w:end="0"/>
        <w:jc w:val="both"/>
        <w:rPr>
          <w:sz w:val="24"/>
        </w:rPr>
      </w:pPr>
      <w:r>
        <w:rPr/>
        <w:t xml:space="preserve">Nye should not object.  In Texas, the legislation provides for wholesale and retail nondiscriminatory access.  It isn’t perfect, utilities retain some advantage but the basic policy decision came out right.  Nye may object anyway, arguing that in a closed state, </w:t>
      </w:r>
      <w:r>
        <w:rPr>
          <w:u w:val="single"/>
        </w:rPr>
        <w:t>e.g.</w:t>
      </w:r>
      <w:r>
        <w:rPr/>
        <w:t xml:space="preserve"> Louisiana, utilities may need a preference in order to serve native load.  Our response should be that there is no reason native load cannot be served under the same tariff as everyone else (including other “native loads” like public power entities and other utilities).  Barton should be amenable to “fairness” with equal rules for all participants.  Even EEI supports TVA, BPA and PMA’s being subject to FERC jurisdiction.</w:t>
      </w:r>
    </w:p>
    <w:p>
      <w:pPr>
        <w:pStyle w:val="Body"/>
        <w:ind w:start="720" w:end="0"/>
        <w:jc w:val="both"/>
        <w:rPr>
          <w:sz w:val="24"/>
        </w:rPr>
      </w:pPr>
      <w:r>
        <w:rPr>
          <w:sz w:val="24"/>
        </w:rPr>
      </w:r>
    </w:p>
    <w:p>
      <w:pPr>
        <w:pStyle w:val="Body"/>
        <w:ind w:start="720" w:end="0"/>
        <w:jc w:val="both"/>
        <w:rPr/>
      </w:pPr>
      <w:r>
        <w:rPr/>
      </w:r>
    </w:p>
    <w:p>
      <w:pPr>
        <w:pStyle w:val="Body"/>
        <w:numPr>
          <w:ilvl w:val="0"/>
          <w:numId w:val="3"/>
        </w:numPr>
        <w:tabs>
          <w:tab w:val="left" w:pos="792" w:leader="none"/>
        </w:tabs>
        <w:ind w:hanging="720" w:start="792" w:end="0"/>
        <w:jc w:val="both"/>
        <w:rPr>
          <w:u w:val="single"/>
        </w:rPr>
      </w:pPr>
      <w:r>
        <w:rPr>
          <w:u w:val="single"/>
        </w:rPr>
        <w:t>Reliability.</w:t>
      </w:r>
    </w:p>
    <w:p>
      <w:pPr>
        <w:pStyle w:val="Body"/>
        <w:ind w:firstLine="72" w:start="720" w:end="0"/>
        <w:jc w:val="both"/>
        <w:rPr>
          <w:u w:val="single"/>
        </w:rPr>
      </w:pPr>
      <w:r>
        <w:rPr>
          <w:u w:val="single"/>
        </w:rPr>
      </w:r>
    </w:p>
    <w:p>
      <w:pPr>
        <w:pStyle w:val="Body"/>
        <w:ind w:firstLine="648" w:end="0"/>
        <w:jc w:val="both"/>
        <w:rPr/>
      </w:pPr>
      <w:r>
        <w:rPr/>
        <w:t xml:space="preserve">Enron, NERC and many others have worked on reliability legislation which restructures the reliability organizations and provides for FERC jurisdiction.  We arrived at hard fought consensus language, which NARUC (state commissioners) now propose to change.  We should go back to the original consensus language.  </w:t>
      </w:r>
    </w:p>
    <w:p>
      <w:pPr>
        <w:pStyle w:val="Body"/>
        <w:ind w:start="720" w:end="0"/>
        <w:jc w:val="both"/>
        <w:rPr/>
      </w:pPr>
      <w:r>
        <w:rPr/>
      </w:r>
    </w:p>
    <w:p>
      <w:pPr>
        <w:pStyle w:val="Body"/>
        <w:jc w:val="both"/>
        <w:rPr/>
      </w:pPr>
      <w:r>
        <w:rPr/>
        <w:tab/>
        <w:t>NARUC wants to add a state commissioners’ advisory panel whose decisions would be granted deference by the FERC.  It should be rejected - - states still have plenty of control over local distribution reliability issues, they should not have control over issues affecting interstate commerce.</w:t>
      </w:r>
    </w:p>
    <w:p>
      <w:pPr>
        <w:pStyle w:val="Body"/>
        <w:jc w:val="both"/>
        <w:rPr/>
      </w:pPr>
      <w:r>
        <w:rPr/>
      </w:r>
    </w:p>
    <w:p>
      <w:pPr>
        <w:pStyle w:val="Body"/>
        <w:jc w:val="both"/>
        <w:rPr/>
      </w:pPr>
      <w:r>
        <w:rPr/>
        <w:tab/>
        <w:t>If Nye doesn’t agree, a fallback position might be:  keep the advisory group but (1) don’t let it add to the time allowed for review of rules or rule changes and (2) don’t grant it deference (FERC review should be “de novo”).</w:t>
      </w:r>
    </w:p>
    <w:p>
      <w:pPr>
        <w:pStyle w:val="Body"/>
        <w:jc w:val="both"/>
        <w:rPr/>
      </w:pPr>
      <w:r>
        <w:rPr/>
      </w:r>
    </w:p>
    <w:p>
      <w:pPr>
        <w:pStyle w:val="Body"/>
        <w:jc w:val="both"/>
        <w:rPr/>
      </w:pPr>
      <w:r>
        <w:rPr/>
      </w:r>
    </w:p>
    <w:p>
      <w:pPr>
        <w:pStyle w:val="Body"/>
        <w:numPr>
          <w:ilvl w:val="0"/>
          <w:numId w:val="3"/>
        </w:numPr>
        <w:tabs>
          <w:tab w:val="left" w:pos="792" w:leader="none"/>
        </w:tabs>
        <w:ind w:hanging="720" w:start="792" w:end="0"/>
        <w:jc w:val="both"/>
        <w:rPr>
          <w:u w:val="single"/>
        </w:rPr>
      </w:pPr>
      <w:r>
        <w:rPr>
          <w:u w:val="single"/>
        </w:rPr>
        <w:t>RTO authority for the FERC.</w:t>
      </w:r>
    </w:p>
    <w:p>
      <w:pPr>
        <w:pStyle w:val="Body"/>
        <w:ind w:start="0" w:end="0"/>
        <w:jc w:val="both"/>
        <w:rPr>
          <w:u w:val="single"/>
        </w:rPr>
      </w:pPr>
      <w:r>
        <w:rPr>
          <w:u w:val="single"/>
        </w:rPr>
      </w:r>
    </w:p>
    <w:p>
      <w:pPr>
        <w:pStyle w:val="Body"/>
        <w:ind w:firstLine="648" w:end="0"/>
        <w:jc w:val="both"/>
        <w:rPr/>
      </w:pPr>
      <w:r>
        <w:rPr/>
        <w:t xml:space="preserve">FERC has initiated a rulemaking on Regional Transmission Organizations (RTOs) to better manage access to transmission and reliability.  RTOs may be nonprofit (ISOs) or for profit (Transcos).  The issues are:  should federal legislation give FERC clear authority to </w:t>
      </w:r>
      <w:r>
        <w:rPr>
          <w:u w:val="single"/>
        </w:rPr>
        <w:t>order</w:t>
      </w:r>
      <w:r>
        <w:rPr/>
        <w:t xml:space="preserve"> RTO formation, should they remain voluntary and should FERC use incentives to encourage RTO formation.  Our view is that fixing item (1) above will go a long way toward RTO formation - - </w:t>
      </w:r>
      <w:r>
        <w:rPr>
          <w:u w:val="single"/>
        </w:rPr>
        <w:t>i.e.</w:t>
      </w:r>
      <w:r>
        <w:rPr/>
        <w:t xml:space="preserve"> once utilities can no longer use their transmission assets to insulate their other businesses from competition they are more likely to pursue other options (like Transcos).  In any event, we prefer giving FERC the authority (without having to bribe utilities to participate).</w:t>
      </w:r>
    </w:p>
    <w:p>
      <w:pPr>
        <w:pStyle w:val="Body"/>
        <w:ind w:start="720" w:end="0"/>
        <w:jc w:val="both"/>
        <w:rPr/>
      </w:pPr>
      <w:r>
        <w:rPr/>
      </w:r>
    </w:p>
    <w:p>
      <w:pPr>
        <w:pStyle w:val="Body"/>
        <w:ind w:firstLine="720" w:start="0" w:end="0"/>
        <w:jc w:val="both"/>
        <w:rPr/>
      </w:pPr>
      <w:r>
        <w:rPr/>
        <w:t xml:space="preserve">Again, Texas should not be an issue.  It has already formed an ISO.  The primary issue for EEI is that they do not want </w:t>
      </w:r>
      <w:r>
        <w:rPr>
          <w:u w:val="single"/>
        </w:rPr>
        <w:t>mandatory</w:t>
      </w:r>
      <w:r>
        <w:rPr/>
        <w:t xml:space="preserve"> participation; rather they want voluntary, incentivized participation.</w:t>
      </w:r>
    </w:p>
    <w:p>
      <w:pPr>
        <w:pStyle w:val="Body"/>
        <w:ind w:start="0" w:end="0"/>
        <w:jc w:val="both"/>
        <w:rPr>
          <w:u w:val="single"/>
        </w:rPr>
      </w:pPr>
      <w:r>
        <w:rPr>
          <w:u w:val="single"/>
        </w:rPr>
      </w:r>
    </w:p>
    <w:p>
      <w:pPr>
        <w:pStyle w:val="Body"/>
        <w:numPr>
          <w:ilvl w:val="0"/>
          <w:numId w:val="3"/>
        </w:numPr>
        <w:tabs>
          <w:tab w:val="left" w:pos="792" w:leader="none"/>
        </w:tabs>
        <w:ind w:hanging="720" w:start="792" w:end="0"/>
        <w:jc w:val="both"/>
        <w:rPr>
          <w:u w:val="single"/>
        </w:rPr>
      </w:pPr>
      <w:r>
        <w:rPr>
          <w:u w:val="single"/>
        </w:rPr>
        <w:t>Generation market power language.</w:t>
      </w:r>
    </w:p>
    <w:p>
      <w:pPr>
        <w:pStyle w:val="Body"/>
        <w:jc w:val="both"/>
        <w:rPr>
          <w:u w:val="single"/>
        </w:rPr>
      </w:pPr>
      <w:r>
        <w:rPr>
          <w:u w:val="single"/>
        </w:rPr>
      </w:r>
    </w:p>
    <w:p>
      <w:pPr>
        <w:pStyle w:val="Body"/>
        <w:ind w:firstLine="810" w:start="0" w:end="0"/>
        <w:jc w:val="both"/>
        <w:rPr/>
      </w:pPr>
      <w:r>
        <w:rPr/>
        <w:t>The idea of giving FERC authority to order divestiture or other transfer of control of the generation or transmission in the case of market power was first raised in legislation by  Congressmen DeLay and Markey and subsequently included in the Administration’s bill.  Although the Texas bill allows for state divestiture in the case of a 20% market concentration, the idea of giving FERC this authority is more controversial than “date certain” ever was to EEI.</w:t>
      </w:r>
    </w:p>
    <w:p>
      <w:pPr>
        <w:pStyle w:val="Body"/>
        <w:ind w:firstLine="810" w:start="0" w:end="0"/>
        <w:jc w:val="both"/>
        <w:rPr/>
      </w:pPr>
      <w:r>
        <w:rPr/>
      </w:r>
    </w:p>
    <w:p>
      <w:pPr>
        <w:pStyle w:val="Body"/>
        <w:ind w:firstLine="810" w:start="0" w:end="0"/>
        <w:jc w:val="both"/>
        <w:rPr/>
      </w:pPr>
      <w:r>
        <w:rPr/>
        <w:t xml:space="preserve">Although Congressman Markey intends to offer an amendment which includes the DeLay/Markey divestiture language, this will fail.  Perhaps TXU would be receptive to language which requires every state to adopt the Texas 20% threshold. </w:t>
      </w:r>
    </w:p>
    <w:p>
      <w:pPr>
        <w:pStyle w:val="Body"/>
        <w:ind w:firstLine="810" w:start="0" w:end="0"/>
        <w:jc w:val="both"/>
        <w:rPr/>
      </w:pPr>
      <w:r>
        <w:rPr/>
      </w:r>
    </w:p>
    <w:p>
      <w:pPr>
        <w:pStyle w:val="Body"/>
        <w:keepNext w:val="true"/>
        <w:keepLines/>
        <w:numPr>
          <w:ilvl w:val="0"/>
          <w:numId w:val="3"/>
        </w:numPr>
        <w:tabs>
          <w:tab w:val="left" w:pos="810" w:leader="none"/>
        </w:tabs>
        <w:jc w:val="both"/>
        <w:rPr>
          <w:u w:val="single"/>
        </w:rPr>
      </w:pPr>
      <w:r>
        <w:rPr>
          <w:u w:val="single"/>
        </w:rPr>
        <w:t>Interconnection</w:t>
      </w:r>
    </w:p>
    <w:p>
      <w:pPr>
        <w:pStyle w:val="Body"/>
        <w:keepNext w:val="true"/>
        <w:keepLines/>
        <w:jc w:val="both"/>
        <w:rPr>
          <w:u w:val="single"/>
        </w:rPr>
      </w:pPr>
      <w:r>
        <w:rPr>
          <w:u w:val="single"/>
        </w:rPr>
      </w:r>
    </w:p>
    <w:p>
      <w:pPr>
        <w:pStyle w:val="Body"/>
        <w:keepNext w:val="true"/>
        <w:keepLines/>
        <w:jc w:val="both"/>
        <w:rPr/>
      </w:pPr>
      <w:r>
        <w:rPr/>
        <w:tab/>
        <w:t>Nondiscriminatory interconnection between generation assets and transmission is necessary to ensure a reliable supply of competitive generation to meet growing market needs.  FERC must have jurisdiction to ensure such interconnection.</w:t>
      </w:r>
    </w:p>
    <w:p>
      <w:pPr>
        <w:pStyle w:val="Body"/>
        <w:jc w:val="both"/>
        <w:rPr/>
      </w:pPr>
      <w:r>
        <w:rPr/>
      </w:r>
    </w:p>
    <w:p>
      <w:pPr>
        <w:pStyle w:val="Body"/>
        <w:numPr>
          <w:ilvl w:val="0"/>
          <w:numId w:val="3"/>
        </w:numPr>
        <w:tabs>
          <w:tab w:val="left" w:pos="810" w:leader="none"/>
        </w:tabs>
        <w:jc w:val="both"/>
        <w:rPr>
          <w:u w:val="single"/>
        </w:rPr>
      </w:pPr>
      <w:r>
        <w:rPr>
          <w:u w:val="single"/>
        </w:rPr>
        <w:t>Reclassification</w:t>
      </w:r>
    </w:p>
    <w:p>
      <w:pPr>
        <w:pStyle w:val="Body"/>
        <w:tabs>
          <w:tab w:val="left" w:pos="810" w:leader="none"/>
        </w:tabs>
        <w:jc w:val="both"/>
        <w:rPr>
          <w:u w:val="single"/>
        </w:rPr>
      </w:pPr>
      <w:r>
        <w:rPr>
          <w:u w:val="single"/>
        </w:rPr>
      </w:r>
    </w:p>
    <w:p>
      <w:pPr>
        <w:pStyle w:val="Body"/>
        <w:tabs>
          <w:tab w:val="left" w:pos="810" w:leader="none"/>
        </w:tabs>
        <w:ind w:start="0" w:end="0"/>
        <w:jc w:val="both"/>
        <w:rPr/>
      </w:pPr>
      <w:r>
        <w:rPr/>
        <w:tab/>
        <w:t xml:space="preserve">Recently, APPA published a study criticizing large utilities reclassifying their transmission facilities to local distribution status in order to avoid FERC wholesale open access rules.  </w:t>
      </w:r>
    </w:p>
    <w:p>
      <w:pPr>
        <w:pStyle w:val="Body"/>
        <w:tabs>
          <w:tab w:val="left" w:pos="810" w:leader="none"/>
        </w:tabs>
        <w:jc w:val="both"/>
        <w:rPr/>
      </w:pPr>
      <w:r>
        <w:rPr/>
      </w:r>
    </w:p>
    <w:p>
      <w:pPr>
        <w:pStyle w:val="Body"/>
        <w:tabs>
          <w:tab w:val="left" w:pos="810" w:leader="none"/>
        </w:tabs>
        <w:jc w:val="both"/>
        <w:rPr/>
      </w:pPr>
      <w:r>
        <w:rPr/>
        <w:tab/>
        <w:t>EEI is under the mistaken impression that the Moler amendment on equal transmission access and separation of the sales and transmission functions is a backdoor approach to address the issue.  It is not.  FERC has that jurisdiction today.  The amendment would not change current FERC jurisdiction.</w:t>
      </w:r>
    </w:p>
    <w:p>
      <w:pPr>
        <w:pStyle w:val="Body"/>
        <w:jc w:val="both"/>
        <w:rPr/>
      </w:pPr>
      <w:r>
        <w:rPr/>
      </w:r>
    </w:p>
    <w:p>
      <w:pPr>
        <w:pStyle w:val="Body"/>
        <w:jc w:val="both"/>
        <w:rPr>
          <w:b/>
          <w:u w:val="single"/>
        </w:rPr>
      </w:pPr>
      <w:r>
        <w:rPr>
          <w:b/>
          <w:u w:val="single"/>
        </w:rPr>
        <w:t>Conclusion</w:t>
      </w:r>
    </w:p>
    <w:p>
      <w:pPr>
        <w:pStyle w:val="Body"/>
        <w:jc w:val="both"/>
        <w:rPr>
          <w:b/>
          <w:u w:val="single"/>
        </w:rPr>
      </w:pPr>
      <w:r>
        <w:rPr>
          <w:b/>
          <w:u w:val="single"/>
        </w:rPr>
      </w:r>
    </w:p>
    <w:p>
      <w:pPr>
        <w:pStyle w:val="Body"/>
        <w:ind w:firstLine="648" w:end="0"/>
        <w:jc w:val="both"/>
        <w:rPr/>
      </w:pPr>
      <w:r>
        <w:rPr/>
        <w:t>Of these, item (1) is most essential, though we should obviously get agreement on as much as we can.  We feel that some of these other issues may be addressed later in the process.  We should not commit to seek no further changes after subcommittee vote - - the process is simply too fluid and unpredictable.</w:t>
      </w:r>
    </w:p>
    <w:sectPr>
      <w:headerReference w:type="default" r:id="rId3"/>
      <w:headerReference w:type="first" r:id="rId4"/>
      <w:footerReference w:type="default" r:id="rId5"/>
      <w:footerReference w:type="first" r:id="rId6"/>
      <w:type w:val="nextPage"/>
      <w:pgSz w:w="12240" w:h="15840"/>
      <w:pgMar w:left="1152" w:right="1152"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Ken Lay</w:t>
      <w:tab/>
      <w:t>October 13, 1999</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character" w:styleId="WW8Num2z0">
    <w:name w:val="WW8Num2z0"/>
    <w:qFormat/>
    <w:rPr>
      <w:rFonts w:ascii="Symbol" w:hAnsi="Symbol" w:cs="Symbol"/>
    </w:rPr>
  </w:style>
  <w:style w:type="character" w:styleId="WW8Num4z0">
    <w:name w:val="WW8Num4z0"/>
    <w:qFormat/>
    <w:rPr>
      <w:u w:val="none"/>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1999-10-14T19:46:00Z</dcterms:created>
  <dc:creator>Jeff Ford</dc:creator>
  <dc:description/>
  <dc:language>en-CA</dc:language>
  <cp:lastModifiedBy>mmcvicke</cp:lastModifiedBy>
  <cp:lastPrinted>1999-10-15T10:28:00Z</cp:lastPrinted>
  <dcterms:modified xsi:type="dcterms:W3CDTF">1999-10-15T12:59:00Z</dcterms:modified>
  <cp:revision>5</cp:revision>
  <dc:subject/>
  <dc:title>Eron Capital &amp; Trade Resources Memo</dc:title>
</cp:coreProperties>
</file>