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szCs w:val="20"/>
        </w:rPr>
      </w:pPr>
      <w:r>
        <w:rPr>
          <w:sz w:val="20"/>
          <w:szCs w:val="20"/>
        </w:rPr>
        <w:drawing>
          <wp:inline distT="0" distB="0" distL="0" distR="0">
            <wp:extent cx="984885"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84885"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szCs w:val="16"/>
              </w:rPr>
            </w:pPr>
            <w:r>
              <w:rPr>
                <w:sz w:val="16"/>
                <w:szCs w:val="16"/>
              </w:rPr>
              <w:t>To:</w:t>
            </w:r>
          </w:p>
        </w:tc>
        <w:tc>
          <w:tcPr>
            <w:tcW w:w="6045" w:type="dxa"/>
            <w:tcBorders/>
          </w:tcPr>
          <w:p>
            <w:pPr>
              <w:pStyle w:val="To"/>
              <w:rPr/>
            </w:pPr>
            <w:r>
              <w:rPr/>
              <w:t>Enron Executive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306" w:hRule="exact"/>
        </w:trPr>
        <w:tc>
          <w:tcPr>
            <w:tcW w:w="708" w:type="dxa"/>
            <w:tcBorders/>
          </w:tcPr>
          <w:p>
            <w:pPr>
              <w:pStyle w:val="Normal"/>
              <w:ind w:start="-180" w:end="0"/>
              <w:jc w:val="end"/>
              <w:rPr>
                <w:sz w:val="16"/>
                <w:szCs w:val="16"/>
              </w:rPr>
            </w:pPr>
            <w:r>
              <w:rPr>
                <w:sz w:val="16"/>
                <w:szCs w:val="16"/>
              </w:rPr>
              <w:t>From:</w:t>
            </w:r>
          </w:p>
        </w:tc>
        <w:tc>
          <w:tcPr>
            <w:tcW w:w="6045" w:type="dxa"/>
            <w:tcBorders/>
          </w:tcPr>
          <w:p>
            <w:pPr>
              <w:pStyle w:val="From"/>
              <w:rPr/>
            </w:pPr>
            <w:r>
              <w:rPr/>
              <w:t>Steve Kean</w:t>
            </w:r>
          </w:p>
        </w:tc>
        <w:tc>
          <w:tcPr>
            <w:tcW w:w="990" w:type="dxa"/>
            <w:tcBorders/>
          </w:tcPr>
          <w:p>
            <w:pPr>
              <w:pStyle w:val="Normal"/>
              <w:snapToGrid w:val="false"/>
              <w:ind w:start="-180" w:end="0"/>
              <w:jc w:val="end"/>
              <w:rPr>
                <w:sz w:val="16"/>
                <w:szCs w:val="16"/>
              </w:rPr>
            </w:pPr>
            <w:r>
              <w:rPr>
                <w:sz w:val="16"/>
                <w:szCs w:val="16"/>
              </w:rPr>
            </w:r>
          </w:p>
        </w:tc>
        <w:tc>
          <w:tcPr>
            <w:tcW w:w="2965" w:type="dxa"/>
            <w:tcBorders/>
          </w:tcPr>
          <w:p>
            <w:pPr>
              <w:pStyle w:val="Department"/>
              <w:snapToGrid w:val="false"/>
              <w:rPr>
                <w:sz w:val="16"/>
                <w:szCs w:val="16"/>
              </w:rPr>
            </w:pPr>
            <w:r>
              <w:rPr>
                <w:sz w:val="16"/>
                <w:szCs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600" w:hRule="exact"/>
        </w:trPr>
        <w:tc>
          <w:tcPr>
            <w:tcW w:w="708" w:type="dxa"/>
            <w:tcBorders>
              <w:bottom w:val="single" w:sz="12" w:space="0" w:color="000000"/>
            </w:tcBorders>
          </w:tcPr>
          <w:p>
            <w:pPr>
              <w:pStyle w:val="Normal"/>
              <w:ind w:start="-180" w:end="0"/>
              <w:jc w:val="end"/>
              <w:rPr>
                <w:sz w:val="16"/>
                <w:szCs w:val="16"/>
              </w:rPr>
            </w:pPr>
            <w:r>
              <w:rPr>
                <w:sz w:val="16"/>
                <w:szCs w:val="16"/>
              </w:rPr>
              <w:t>Subject:</w:t>
            </w:r>
          </w:p>
        </w:tc>
        <w:tc>
          <w:tcPr>
            <w:tcW w:w="6045" w:type="dxa"/>
            <w:tcBorders>
              <w:bottom w:val="single" w:sz="12" w:space="0" w:color="000000"/>
            </w:tcBorders>
          </w:tcPr>
          <w:p>
            <w:pPr>
              <w:pStyle w:val="Subject"/>
              <w:rPr/>
            </w:pPr>
            <w:r>
              <w:rPr/>
              <w:t>Enron Advisory Council Meeting</w:t>
            </w:r>
          </w:p>
        </w:tc>
        <w:tc>
          <w:tcPr>
            <w:tcW w:w="990" w:type="dxa"/>
            <w:tcBorders>
              <w:bottom w:val="single" w:sz="12" w:space="0" w:color="000000"/>
            </w:tcBorders>
          </w:tcPr>
          <w:p>
            <w:pPr>
              <w:pStyle w:val="Normal"/>
              <w:ind w:start="-180" w:end="0"/>
              <w:jc w:val="end"/>
              <w:rPr>
                <w:sz w:val="16"/>
                <w:szCs w:val="16"/>
              </w:rPr>
            </w:pPr>
            <w:r>
              <w:rPr>
                <w:sz w:val="16"/>
                <w:szCs w:val="16"/>
              </w:rPr>
              <w:t>Date:</w:t>
            </w:r>
          </w:p>
        </w:tc>
        <w:tc>
          <w:tcPr>
            <w:tcW w:w="2965" w:type="dxa"/>
            <w:tcBorders>
              <w:bottom w:val="single" w:sz="12" w:space="0" w:color="000000"/>
            </w:tcBorders>
          </w:tcPr>
          <w:p>
            <w:pPr>
              <w:pStyle w:val="Date"/>
              <w:rPr/>
            </w:pPr>
            <w:r>
              <w:rPr/>
              <w:t>September 7, 1999</w:t>
            </w:r>
          </w:p>
        </w:tc>
      </w:tr>
    </w:tbl>
    <w:p>
      <w:pPr>
        <w:pStyle w:val="Body"/>
        <w:jc w:val="both"/>
        <w:rPr/>
      </w:pPr>
      <w:r>
        <w:rPr/>
      </w:r>
      <w:bookmarkStart w:id="2" w:name="StartOfMemo"/>
      <w:bookmarkStart w:id="3" w:name="StartOfMemo"/>
      <w:bookmarkEnd w:id="3"/>
    </w:p>
    <w:p>
      <w:pPr>
        <w:pStyle w:val="Body"/>
        <w:ind w:start="0" w:end="0"/>
        <w:jc w:val="both"/>
        <w:rPr/>
      </w:pPr>
      <w:r>
        <w:rPr/>
        <w:tab/>
        <w:t>Earlier this year Ken and Jeff formed the Enron Advisory Council, a group of opinion leaders drawn from the business media, and academic communities.  The purpose of the group is two-fold:</w:t>
      </w:r>
    </w:p>
    <w:p>
      <w:pPr>
        <w:pStyle w:val="Body"/>
        <w:ind w:start="0" w:end="0"/>
        <w:jc w:val="both"/>
        <w:rPr/>
      </w:pPr>
      <w:r>
        <w:rPr/>
      </w:r>
    </w:p>
    <w:p>
      <w:pPr>
        <w:pStyle w:val="Body"/>
        <w:ind w:hanging="720" w:start="1440" w:end="0"/>
        <w:jc w:val="both"/>
        <w:rPr/>
      </w:pPr>
      <w:r>
        <w:rPr/>
        <w:t>1.</w:t>
        <w:tab/>
        <w:t>Provide Enron with an additional source of information about key macroeconomic and public policy trends and their implications for Enron.</w:t>
      </w:r>
    </w:p>
    <w:p>
      <w:pPr>
        <w:pStyle w:val="Body"/>
        <w:ind w:hanging="720" w:start="1440" w:end="0"/>
        <w:jc w:val="both"/>
        <w:rPr/>
      </w:pPr>
      <w:r>
        <w:rPr/>
      </w:r>
    </w:p>
    <w:p>
      <w:pPr>
        <w:pStyle w:val="Body"/>
        <w:ind w:hanging="720" w:start="1440" w:end="0"/>
        <w:jc w:val="both"/>
        <w:rPr/>
      </w:pPr>
      <w:r>
        <w:rPr/>
        <w:t>2.</w:t>
        <w:tab/>
        <w:t>Enable distinguished group of opinion leaders to internalize Enron’s views, and its capabilities, so that they think of us when they are advising others or otherwise influencing public policy.</w:t>
      </w:r>
    </w:p>
    <w:p>
      <w:pPr>
        <w:pStyle w:val="Body"/>
        <w:ind w:hanging="720" w:start="1440" w:end="0"/>
        <w:jc w:val="both"/>
        <w:rPr/>
      </w:pPr>
      <w:r>
        <w:rPr/>
      </w:r>
    </w:p>
    <w:p>
      <w:pPr>
        <w:pStyle w:val="Body"/>
        <w:ind w:start="0" w:end="0"/>
        <w:jc w:val="both"/>
        <w:rPr/>
      </w:pPr>
      <w:r>
        <w:rPr/>
        <w:tab/>
        <w:t>The group has met once this year and received a full presentation from several of Enron’s business unit leaders.</w:t>
      </w:r>
    </w:p>
    <w:p>
      <w:pPr>
        <w:pStyle w:val="Body"/>
        <w:ind w:hanging="720" w:start="720" w:end="0"/>
        <w:jc w:val="both"/>
        <w:rPr/>
      </w:pPr>
      <w:r>
        <w:rPr/>
      </w:r>
    </w:p>
    <w:p>
      <w:pPr>
        <w:pStyle w:val="Body"/>
        <w:ind w:start="0" w:end="0"/>
        <w:jc w:val="both"/>
        <w:rPr/>
      </w:pPr>
      <w:r>
        <w:rPr/>
        <w:tab/>
        <w:t>The next meeting is September 16-17.  The agenda is attached and you are encouraged to attend</w:t>
      </w:r>
      <w:r>
        <w:rPr>
          <w:rStyle w:val="FootnoteCharacters"/>
          <w:rStyle w:val="FootnoteReference"/>
          <w:rFonts w:eastAsia="Symbol" w:cs="Symbol" w:ascii="Symbol" w:hAnsi="Symbol"/>
          <w:sz w:val="24"/>
          <w:szCs w:val="24"/>
        </w:rPr>
        <w:footnoteReference w:customMarkFollows="1" w:id="2"/>
        <w:t>*</w:t>
      </w:r>
      <w:r>
        <w:rPr>
          <w:sz w:val="24"/>
          <w:szCs w:val="24"/>
        </w:rPr>
        <w:t>.</w:t>
      </w:r>
      <w:r>
        <w:rPr/>
        <w:t xml:space="preserve">  Please RSVP to my assistant, Maureen McVicker (ext. 3-1808).</w:t>
      </w:r>
    </w:p>
    <w:p>
      <w:pPr>
        <w:pStyle w:val="Body"/>
        <w:ind w:hanging="720" w:start="720" w:end="0"/>
        <w:jc w:val="both"/>
        <w:rPr/>
      </w:pPr>
      <w:r>
        <w:rPr/>
      </w:r>
    </w:p>
    <w:p>
      <w:pPr>
        <w:pStyle w:val="Body"/>
        <w:ind w:start="0" w:end="0"/>
        <w:jc w:val="both"/>
        <w:rPr/>
      </w:pPr>
      <w:r>
        <w:rPr/>
        <w:tab/>
        <w:t>Also attached is 1) a contact list including each of the Advisory Council members, 2) some brief background information on each of the Advisory Council members (sent with hard copy version of this memo), and 3) some suggested readings for our next meeting (sent with hard copy version of this memo).</w:t>
      </w:r>
    </w:p>
    <w:p>
      <w:pPr>
        <w:pStyle w:val="Body"/>
        <w:ind w:start="0" w:end="0"/>
        <w:jc w:val="both"/>
        <w:rPr/>
      </w:pPr>
      <w:r>
        <w:rPr/>
      </w:r>
    </w:p>
    <w:p>
      <w:pPr>
        <w:pStyle w:val="Body"/>
        <w:ind w:start="0" w:end="0"/>
        <w:jc w:val="both"/>
        <w:rPr/>
      </w:pPr>
      <w:r>
        <w:rPr/>
      </w:r>
    </w:p>
    <w:p>
      <w:pPr>
        <w:pStyle w:val="Body"/>
        <w:ind w:start="0" w:end="0"/>
        <w:jc w:val="both"/>
        <w:rPr/>
      </w:pPr>
      <w:r>
        <w:rPr/>
        <w:t>cc:</w:t>
        <w:tab/>
        <w:t>Rebecca Carter</w:t>
      </w:r>
      <w:r>
        <w:br w:type="page"/>
      </w:r>
    </w:p>
    <w:p>
      <w:pPr>
        <w:pStyle w:val="Normal"/>
        <w:jc w:val="center"/>
        <w:rPr/>
      </w:pPr>
      <w:r>
        <w:rPr/>
      </w:r>
    </w:p>
    <w:p>
      <w:pPr>
        <w:pStyle w:val="Heading2"/>
        <w:ind w:hanging="0" w:start="0"/>
        <w:rPr>
          <w:sz w:val="28"/>
          <w:szCs w:val="28"/>
        </w:rPr>
      </w:pPr>
      <w:r>
        <w:rPr>
          <w:sz w:val="28"/>
          <w:szCs w:val="28"/>
        </w:rPr>
        <w:t>AGENDA</w:t>
      </w:r>
    </w:p>
    <w:p>
      <w:pPr>
        <w:pStyle w:val="Normal"/>
        <w:jc w:val="center"/>
        <w:rPr>
          <w:sz w:val="28"/>
          <w:szCs w:val="28"/>
        </w:rPr>
      </w:pPr>
      <w:r>
        <w:rPr>
          <w:sz w:val="28"/>
          <w:szCs w:val="28"/>
        </w:rPr>
      </w:r>
    </w:p>
    <w:p>
      <w:pPr>
        <w:pStyle w:val="Normal"/>
        <w:jc w:val="center"/>
        <w:rPr/>
      </w:pPr>
      <w:r>
        <w:rPr/>
      </w:r>
    </w:p>
    <w:p>
      <w:pPr>
        <w:pStyle w:val="Heading4"/>
        <w:ind w:hanging="0" w:start="0"/>
        <w:rPr/>
      </w:pPr>
      <w:r>
        <w:rPr/>
        <w:t>September 16</w:t>
      </w:r>
    </w:p>
    <w:p>
      <w:pPr>
        <w:pStyle w:val="Normal"/>
        <w:spacing w:before="0" w:after="24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spacing w:before="0" w:after="240"/>
        <w:jc w:val="both"/>
        <w:rPr>
          <w:rFonts w:ascii="Times New Roman" w:hAnsi="Times New Roman" w:eastAsia="Times New Roman" w:cs="Times New Roman"/>
          <w:color w:val="000000"/>
        </w:rPr>
      </w:pPr>
      <w:r>
        <w:rPr>
          <w:rFonts w:eastAsia="Times New Roman" w:cs="Times New Roman" w:ascii="Times New Roman" w:hAnsi="Times New Roman"/>
          <w:color w:val="000000"/>
        </w:rPr>
        <w:t>6:00 – 6:30 p.m.</w:t>
        <w:tab/>
        <w:t>Reception (Four Seasons Hotel downtown Houston)</w:t>
      </w:r>
    </w:p>
    <w:p>
      <w:pPr>
        <w:pStyle w:val="Normal"/>
        <w:spacing w:before="0" w:after="240"/>
        <w:jc w:val="both"/>
        <w:rPr>
          <w:rFonts w:ascii="Times New Roman" w:hAnsi="Times New Roman" w:eastAsia="Times New Roman" w:cs="Times New Roman"/>
          <w:color w:val="000000"/>
        </w:rPr>
      </w:pPr>
      <w:r>
        <w:rPr>
          <w:rFonts w:eastAsia="Times New Roman" w:cs="Times New Roman" w:ascii="Times New Roman" w:hAnsi="Times New Roman"/>
          <w:color w:val="000000"/>
        </w:rPr>
        <w:t>6:30 – 8:30 p.m.</w:t>
        <w:tab/>
        <w:t>Dinner</w:t>
      </w:r>
    </w:p>
    <w:p>
      <w:pPr>
        <w:pStyle w:val="Normal"/>
        <w:numPr>
          <w:ilvl w:val="0"/>
          <w:numId w:val="2"/>
        </w:numPr>
        <w:tabs>
          <w:tab w:val="clear" w:pos="540"/>
          <w:tab w:val="left" w:pos="0" w:leader="none"/>
          <w:tab w:val="left" w:pos="180" w:leader="none"/>
        </w:tabs>
        <w:spacing w:before="0" w:after="240"/>
        <w:ind w:hanging="720" w:start="2880" w:end="0"/>
        <w:jc w:val="both"/>
        <w:rPr>
          <w:rFonts w:ascii="Times New Roman" w:hAnsi="Times New Roman" w:eastAsia="Times New Roman" w:cs="Times New Roman"/>
          <w:color w:val="000000"/>
        </w:rPr>
      </w:pPr>
      <w:r>
        <w:rPr>
          <w:rFonts w:eastAsia="Times New Roman" w:cs="Times New Roman" w:ascii="Times New Roman" w:hAnsi="Times New Roman"/>
          <w:color w:val="000000"/>
        </w:rPr>
        <w:t>Domestic Political Update – William Kristol – 30 min.</w:t>
      </w:r>
    </w:p>
    <w:p>
      <w:pPr>
        <w:pStyle w:val="Normal"/>
        <w:numPr>
          <w:ilvl w:val="0"/>
          <w:numId w:val="2"/>
        </w:numPr>
        <w:tabs>
          <w:tab w:val="clear" w:pos="540"/>
          <w:tab w:val="left" w:pos="0" w:leader="none"/>
          <w:tab w:val="left" w:pos="180" w:leader="none"/>
        </w:tabs>
        <w:spacing w:before="0" w:after="240"/>
        <w:ind w:hanging="720" w:start="2880" w:end="0"/>
        <w:jc w:val="both"/>
        <w:rPr/>
      </w:pPr>
      <w:r>
        <w:rPr>
          <w:rFonts w:eastAsia="Times New Roman" w:cs="Times New Roman" w:ascii="Times New Roman" w:hAnsi="Times New Roman"/>
          <w:color w:val="000000"/>
        </w:rPr>
        <w:t>Overview of Enron’s</w:t>
      </w:r>
      <w:r>
        <w:rPr/>
        <w:t xml:space="preserve"> </w:t>
      </w:r>
      <w:r>
        <w:rPr>
          <w:rFonts w:eastAsia="Times New Roman" w:cs="Times New Roman" w:ascii="Times New Roman" w:hAnsi="Times New Roman"/>
        </w:rPr>
        <w:t>business strategy – Jeff Skilling – 60 min.</w:t>
      </w:r>
    </w:p>
    <w:p>
      <w:pPr>
        <w:pStyle w:val="Normal"/>
        <w:jc w:val="both"/>
        <w:rPr/>
      </w:pPr>
      <w:r>
        <w:rPr/>
      </w:r>
    </w:p>
    <w:p>
      <w:pPr>
        <w:pStyle w:val="Heading4"/>
        <w:ind w:hanging="0" w:start="0"/>
        <w:rPr/>
      </w:pPr>
      <w:r>
        <w:rPr/>
        <w:t xml:space="preserve">September 17 </w:t>
      </w:r>
      <w:r>
        <w:rPr>
          <w:u w:val="none"/>
        </w:rPr>
        <w:t xml:space="preserve"> (50M Dining Room)</w:t>
      </w:r>
    </w:p>
    <w:p>
      <w:pPr>
        <w:pStyle w:val="Normal"/>
        <w:jc w:val="both"/>
        <w:rPr/>
      </w:pPr>
      <w:r>
        <w:rPr/>
      </w:r>
    </w:p>
    <w:p>
      <w:pPr>
        <w:pStyle w:val="BodyText2"/>
        <w:rPr/>
      </w:pPr>
      <w:r>
        <w:rPr/>
        <w:t xml:space="preserve">8:30 – 10:00 a.m. </w:t>
        <w:tab/>
        <w:t xml:space="preserve">The new economy (and the business strategies best suited to it) – Ghemawat and Krugman  </w:t>
      </w:r>
    </w:p>
    <w:p>
      <w:pPr>
        <w:pStyle w:val="BodyText2"/>
        <w:rPr/>
      </w:pPr>
      <w:r>
        <w:rPr/>
        <w:t>10:00 – 10:15 a.m.</w:t>
        <w:tab/>
        <w:t>Break</w:t>
      </w:r>
    </w:p>
    <w:p>
      <w:pPr>
        <w:pStyle w:val="BodyText2"/>
        <w:rPr/>
      </w:pPr>
      <w:r>
        <w:rPr/>
        <w:t>10:15 – 11:45 a.m.</w:t>
        <w:tab/>
        <w:t>Latin America Update – Ghemawat and Krugman</w:t>
      </w:r>
    </w:p>
    <w:p>
      <w:pPr>
        <w:pStyle w:val="BodyText2"/>
        <w:rPr/>
      </w:pPr>
      <w:r>
        <w:rPr/>
        <w:t xml:space="preserve">11:45 – 1:00 p.m. </w:t>
        <w:tab/>
        <w:t>Lunch</w:t>
      </w:r>
    </w:p>
    <w:p>
      <w:pPr>
        <w:pStyle w:val="BodyText2"/>
        <w:rPr/>
      </w:pPr>
      <w:r>
        <w:rPr/>
        <w:t>1:00 - 2:30 p.m.</w:t>
        <w:tab/>
        <w:t xml:space="preserve">Macroeconomic risks and how Enron can position itself – Davies and Lindsey </w:t>
      </w:r>
    </w:p>
    <w:p>
      <w:pPr>
        <w:pStyle w:val="BodyText2"/>
        <w:rPr/>
      </w:pPr>
      <w:r>
        <w:rPr/>
        <w:t>2:30 – 2:45 p.m.</w:t>
        <w:tab/>
        <w:t>Break</w:t>
      </w:r>
    </w:p>
    <w:p>
      <w:pPr>
        <w:pStyle w:val="BodyText2"/>
        <w:rPr/>
      </w:pPr>
      <w:r>
        <w:rPr/>
        <w:t>2:45 – 4:15 p.m.</w:t>
        <w:tab/>
        <w:t xml:space="preserve">Public Policy trends and implications for Enron – Zoellick and Stelzer </w:t>
      </w:r>
    </w:p>
    <w:p>
      <w:pPr>
        <w:pStyle w:val="Normal"/>
        <w:jc w:val="center"/>
        <w:rPr/>
      </w:pPr>
      <w:r>
        <w:rPr/>
      </w:r>
    </w:p>
    <w:p>
      <w:pPr>
        <w:pStyle w:val="BodyText2"/>
        <w:rPr/>
      </w:pPr>
      <w:r>
        <w:rPr/>
      </w:r>
    </w:p>
    <w:p>
      <w:pPr>
        <w:pStyle w:val="BodyText2"/>
        <w:spacing w:before="0" w:after="240"/>
        <w:rPr/>
      </w:pPr>
      <w:r>
        <w:rPr/>
      </w:r>
    </w:p>
    <w:sectPr>
      <w:headerReference w:type="default" r:id="rId3"/>
      <w:headerReference w:type="first" r:id="rId4"/>
      <w:footerReference w:type="default" r:id="rId5"/>
      <w:footerReference w:type="first" r:id="rId6"/>
      <w:footnotePr>
        <w:numFmt w:val="decimal"/>
      </w:footnotePr>
      <w:type w:val="nextPage"/>
      <w:pgSz w:w="12240" w:h="15840"/>
      <w:pgMar w:left="1152" w:right="1152" w:gutter="0" w:header="720" w:top="864" w:footer="720" w:bottom="77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sz w:val="24"/>
          <w:szCs w:val="24"/>
        </w:rPr>
        <w:t xml:space="preserve"> </w:t>
      </w:r>
      <w:r>
        <w:rPr/>
        <w:t>Those organizations with two or more members in the Office of the Chairman are encouraged to send one representative.</w:t>
      </w:r>
    </w:p>
    <w:p>
      <w:pPr>
        <w:pStyle w:val="FootnoteText"/>
        <w:rPr/>
      </w:pPr>
      <w:r>
        <w:rPr/>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93980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Heading1"/>
                            <w:rPr/>
                          </w:pPr>
                          <w:r>
                            <w:rPr/>
                          </w:r>
                        </w:p>
                        <w:p>
                          <w:pPr>
                            <w:pStyle w:val="Heading1"/>
                            <w:rPr/>
                          </w:pPr>
                          <w:r>
                            <w:rPr/>
                          </w:r>
                        </w:p>
                        <w:p>
                          <w:pPr>
                            <w:pStyle w:val="Heading1"/>
                            <w:rPr/>
                          </w:pPr>
                          <w:r>
                            <w:rPr/>
                            <w:t>Interoffice</w:t>
                          </w:r>
                          <w:r>
                            <w:rPr>
                              <w:b/>
                              <w:bCs/>
                              <w:sz w:val="32"/>
                              <w:szCs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rPr/>
                    </w:pPr>
                    <w:r>
                      <w:rPr/>
                      <w:t>Interoffice</w:t>
                    </w:r>
                    <w:r>
                      <w:rPr>
                        <w:b/>
                        <w:bCs/>
                        <w:sz w:val="32"/>
                        <w:szCs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ind w:hanging="0" w:start="3600" w:end="0"/>
      <w:outlineLvl w:val="0"/>
    </w:pPr>
    <w:rPr>
      <w:b/>
      <w:bCs/>
      <w:sz w:val="32"/>
      <w:szCs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eastAsia="Times New Roman" w:cs="Times New Roman"/>
      <w:b/>
      <w:bCs/>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jc w:val="both"/>
      <w:outlineLvl w:val="3"/>
    </w:pPr>
    <w:rPr>
      <w:rFonts w:ascii="Times New Roman" w:hAnsi="Times New Roman" w:eastAsia="Times New Roman" w:cs="Times New Roman"/>
      <w:b/>
      <w:bCs/>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FootnoteText">
    <w:name w:val="footnote text"/>
    <w:basedOn w:val="Normal"/>
    <w:pPr/>
    <w:rPr>
      <w:sz w:val="20"/>
      <w:szCs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eastAsia="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1999-09-07T12:00:00Z</dcterms:created>
  <dc:creator>Jeff Ford</dc:creator>
  <dc:description/>
  <dc:language>en-CA</dc:language>
  <cp:lastModifiedBy>maureen mcvicker</cp:lastModifiedBy>
  <cp:lastPrinted>1999-09-07T14:20:00Z</cp:lastPrinted>
  <dcterms:modified xsi:type="dcterms:W3CDTF">1999-09-07T16:50:00Z</dcterms:modified>
  <cp:revision>10</cp:revision>
  <dc:subject/>
  <dc:title>Eron Capital &amp; Trade Resources Memo</dc:title>
</cp:coreProperties>
</file>