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70" w:end="0"/>
        <w:rPr>
          <w:lang w:val="en-CA"/>
        </w:rPr>
      </w:pPr>
      <w:r>
        <w:rPr>
          <w:lang w:val="en-CA"/>
        </w:rPr>
      </w:r>
      <w:r>
        <mc:AlternateContent>
          <mc:Choice Requires="wps">
            <w:drawing>
              <wp:anchor behindDoc="0" distT="0" distB="0" distL="114935" distR="114935" simplePos="0" locked="0" layoutInCell="1" allowOverlap="1" relativeHeight="5">
                <wp:simplePos x="0" y="0"/>
                <wp:positionH relativeFrom="column">
                  <wp:posOffset>267335</wp:posOffset>
                </wp:positionH>
                <wp:positionV relativeFrom="paragraph">
                  <wp:posOffset>-1282700</wp:posOffset>
                </wp:positionV>
                <wp:extent cx="2514600" cy="228600"/>
                <wp:effectExtent l="0" t="0" r="0" b="0"/>
                <wp:wrapNone/>
                <wp:docPr id="1" name="Frame3"/>
                <a:graphic xmlns:a="http://schemas.openxmlformats.org/drawingml/2006/main">
                  <a:graphicData uri="http://schemas.microsoft.com/office/word/2010/wordprocessingShape">
                    <wps:wsp>
                      <wps:cNvSpPr txBox="1"/>
                      <wps:spPr>
                        <a:xfrm>
                          <a:off x="0" y="0"/>
                          <a:ext cx="2514600" cy="228600"/>
                        </a:xfrm>
                        <a:prstGeom prst="rect"/>
                        <a:solidFill>
                          <a:srgbClr val="FFFFFF"/>
                        </a:solidFill>
                      </wps:spPr>
                      <wps:txbx>
                        <w:txbxContent>
                          <w:p>
                            <w:pPr>
                              <w:pStyle w:val="Normal"/>
                              <w:rPr/>
                            </w:pPr>
                            <w:r>
                              <w:rPr/>
                              <w:t>Gary Verkleeren</w:t>
                            </w:r>
                          </w:p>
                        </w:txbxContent>
                      </wps:txbx>
                      <wps:bodyPr anchor="t" lIns="92075" tIns="46355" rIns="92075" bIns="46355">
                        <a:noAutofit/>
                      </wps:bodyPr>
                    </wps:wsp>
                  </a:graphicData>
                </a:graphic>
              </wp:anchor>
            </w:drawing>
          </mc:Choice>
          <mc:Fallback>
            <w:pict>
              <v:rect fillcolor="#FFFFFF" style="position:absolute;rotation:-0;width:198pt;height:18pt;mso-wrap-distance-left:9.05pt;mso-wrap-distance-right:9.05pt;mso-wrap-distance-top:0pt;mso-wrap-distance-bottom:0pt;margin-top:-101pt;mso-position-vertical-relative:text;margin-left:21.05pt;mso-position-horizontal-relative:text">
                <v:textbox inset="0.100694444444444in,0.0506944444444444in,0.100694444444444in,0.0506944444444444in">
                  <w:txbxContent>
                    <w:p>
                      <w:pPr>
                        <w:pStyle w:val="Normal"/>
                        <w:rPr/>
                      </w:pPr>
                      <w:r>
                        <w:rPr/>
                        <w:t>Gary Verkleeren</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267335</wp:posOffset>
                </wp:positionH>
                <wp:positionV relativeFrom="paragraph">
                  <wp:posOffset>-927100</wp:posOffset>
                </wp:positionV>
                <wp:extent cx="3847465" cy="228600"/>
                <wp:effectExtent l="0" t="0" r="0" b="0"/>
                <wp:wrapNone/>
                <wp:docPr id="2" name="Frame2"/>
                <a:graphic xmlns:a="http://schemas.openxmlformats.org/drawingml/2006/main">
                  <a:graphicData uri="http://schemas.microsoft.com/office/word/2010/wordprocessingShape">
                    <wps:wsp>
                      <wps:cNvSpPr txBox="1"/>
                      <wps:spPr>
                        <a:xfrm>
                          <a:off x="0" y="0"/>
                          <a:ext cx="3847465" cy="228600"/>
                        </a:xfrm>
                        <a:prstGeom prst="rect"/>
                        <a:solidFill>
                          <a:srgbClr val="FFFFFF"/>
                        </a:solidFill>
                      </wps:spPr>
                      <wps:txbx>
                        <w:txbxContent>
                          <w:p>
                            <w:pPr>
                              <w:pStyle w:val="Normal"/>
                              <w:rPr/>
                            </w:pPr>
                            <w:r>
                              <w:rPr/>
                              <w:t>Systems Performance Group, Mark Walker</w:t>
                            </w:r>
                          </w:p>
                        </w:txbxContent>
                      </wps:txbx>
                      <wps:bodyPr anchor="t" lIns="92075" tIns="46355" rIns="92075" bIns="46355">
                        <a:noAutofit/>
                      </wps:bodyPr>
                    </wps:wsp>
                  </a:graphicData>
                </a:graphic>
              </wp:anchor>
            </w:drawing>
          </mc:Choice>
          <mc:Fallback>
            <w:pict>
              <v:rect fillcolor="#FFFFFF" style="position:absolute;rotation:-0;width:302.95pt;height:18pt;mso-wrap-distance-left:9.05pt;mso-wrap-distance-right:9.05pt;mso-wrap-distance-top:0pt;mso-wrap-distance-bottom:0pt;margin-top:-73pt;mso-position-vertical-relative:text;margin-left:21.05pt;mso-position-horizontal-relative:text">
                <v:textbox inset="0.100694444444444in,0.0506944444444444in,0.100694444444444in,0.0506944444444444in">
                  <w:txbxContent>
                    <w:p>
                      <w:pPr>
                        <w:pStyle w:val="Normal"/>
                        <w:rPr/>
                      </w:pPr>
                      <w:r>
                        <w:rPr/>
                        <w:t>Systems Performance Group, Mark Walker</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267335</wp:posOffset>
                </wp:positionH>
                <wp:positionV relativeFrom="paragraph">
                  <wp:posOffset>-546100</wp:posOffset>
                </wp:positionV>
                <wp:extent cx="2514600" cy="228600"/>
                <wp:effectExtent l="0" t="0" r="0" b="0"/>
                <wp:wrapNone/>
                <wp:docPr id="3" name="Frame4"/>
                <a:graphic xmlns:a="http://schemas.openxmlformats.org/drawingml/2006/main">
                  <a:graphicData uri="http://schemas.microsoft.com/office/word/2010/wordprocessingShape">
                    <wps:wsp>
                      <wps:cNvSpPr txBox="1"/>
                      <wps:spPr>
                        <a:xfrm>
                          <a:off x="0" y="0"/>
                          <a:ext cx="2514600" cy="228600"/>
                        </a:xfrm>
                        <a:prstGeom prst="rect"/>
                        <a:solidFill>
                          <a:srgbClr val="FFFFFF"/>
                        </a:solidFill>
                      </wps:spPr>
                      <wps:txbx>
                        <w:txbxContent>
                          <w:p>
                            <w:pPr>
                              <w:pStyle w:val="Normal"/>
                              <w:rPr/>
                            </w:pPr>
                            <w:r>
                              <w:rPr/>
                              <w:fldChar w:fldCharType="begin"/>
                            </w:r>
                            <w:r>
                              <w:rPr/>
                              <w:instrText xml:space="preserve"> DATE \@"MMMM\ d', 'yyyy" </w:instrText>
                            </w:r>
                            <w:r>
                              <w:rPr/>
                              <w:fldChar w:fldCharType="separate"/>
                            </w:r>
                            <w:r>
                              <w:rPr/>
                              <w:t>September 28, 2025</w:t>
                            </w:r>
                            <w:r>
                              <w:rPr/>
                              <w:fldChar w:fldCharType="end"/>
                            </w:r>
                          </w:p>
                        </w:txbxContent>
                      </wps:txbx>
                      <wps:bodyPr anchor="t" lIns="92075" tIns="46355" rIns="92075" bIns="46355">
                        <a:noAutofit/>
                      </wps:bodyPr>
                    </wps:wsp>
                  </a:graphicData>
                </a:graphic>
              </wp:anchor>
            </w:drawing>
          </mc:Choice>
          <mc:Fallback>
            <w:pict>
              <v:rect fillcolor="#FFFFFF" style="position:absolute;rotation:-0;width:198pt;height:18pt;mso-wrap-distance-left:9.05pt;mso-wrap-distance-right:9.05pt;mso-wrap-distance-top:0pt;mso-wrap-distance-bottom:0pt;margin-top:-43pt;mso-position-vertical-relative:text;margin-left:21.05pt;mso-position-horizontal-relative:text">
                <v:textbox inset="0.100694444444444in,0.0506944444444444in,0.100694444444444in,0.0506944444444444in">
                  <w:txbxContent>
                    <w:p>
                      <w:pPr>
                        <w:pStyle w:val="Normal"/>
                        <w:rPr/>
                      </w:pPr>
                      <w:r>
                        <w:rPr/>
                        <w:fldChar w:fldCharType="begin"/>
                      </w:r>
                      <w:r>
                        <w:rPr/>
                        <w:instrText xml:space="preserve"> DATE \@"MMMM\ d', 'yyyy" </w:instrText>
                      </w:r>
                      <w:r>
                        <w:rPr/>
                        <w:fldChar w:fldCharType="separate"/>
                      </w:r>
                      <w:r>
                        <w:rPr/>
                        <w:t>September 28, 2025</w:t>
                      </w:r>
                      <w:r>
                        <w:rPr/>
                        <w:fldChar w:fldCharType="end"/>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267335</wp:posOffset>
                </wp:positionH>
                <wp:positionV relativeFrom="paragraph">
                  <wp:posOffset>-190500</wp:posOffset>
                </wp:positionV>
                <wp:extent cx="4396105" cy="228600"/>
                <wp:effectExtent l="0" t="0" r="0" b="0"/>
                <wp:wrapNone/>
                <wp:docPr id="4" name="Frame1"/>
                <a:graphic xmlns:a="http://schemas.openxmlformats.org/drawingml/2006/main">
                  <a:graphicData uri="http://schemas.microsoft.com/office/word/2010/wordprocessingShape">
                    <wps:wsp>
                      <wps:cNvSpPr txBox="1"/>
                      <wps:spPr>
                        <a:xfrm>
                          <a:off x="0" y="0"/>
                          <a:ext cx="4396105" cy="228600"/>
                        </a:xfrm>
                        <a:prstGeom prst="rect"/>
                        <a:solidFill>
                          <a:srgbClr val="FFFFFF"/>
                        </a:solidFill>
                      </wps:spPr>
                      <wps:txbx>
                        <w:txbxContent>
                          <w:p>
                            <w:pPr>
                              <w:pStyle w:val="Normal"/>
                              <w:rPr/>
                            </w:pPr>
                            <w:r>
                              <w:rPr/>
                              <w:t>Reply to question in email dated 5/23/02</w:t>
                            </w:r>
                          </w:p>
                        </w:txbxContent>
                      </wps:txbx>
                      <wps:bodyPr anchor="t" lIns="92075" tIns="46355" rIns="92075" bIns="46355">
                        <a:noAutofit/>
                      </wps:bodyPr>
                    </wps:wsp>
                  </a:graphicData>
                </a:graphic>
              </wp:anchor>
            </w:drawing>
          </mc:Choice>
          <mc:Fallback>
            <w:pict>
              <v:rect fillcolor="#FFFFFF" style="position:absolute;rotation:-0;width:346.15pt;height:18pt;mso-wrap-distance-left:9.05pt;mso-wrap-distance-right:9.05pt;mso-wrap-distance-top:0pt;mso-wrap-distance-bottom:0pt;margin-top:-15pt;mso-position-vertical-relative:text;margin-left:21.05pt;mso-position-horizontal-relative:text">
                <v:textbox inset="0.100694444444444in,0.0506944444444444in,0.100694444444444in,0.0506944444444444in">
                  <w:txbxContent>
                    <w:p>
                      <w:pPr>
                        <w:pStyle w:val="Normal"/>
                        <w:rPr/>
                      </w:pPr>
                      <w:r>
                        <w:rPr/>
                        <w:t>Reply to question in email dated 5/23/02</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4280535</wp:posOffset>
                </wp:positionH>
                <wp:positionV relativeFrom="paragraph">
                  <wp:posOffset>-190500</wp:posOffset>
                </wp:positionV>
                <wp:extent cx="1828800" cy="228600"/>
                <wp:effectExtent l="0" t="0" r="0" b="0"/>
                <wp:wrapNone/>
                <wp:docPr id="5" name="Frame5"/>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44pt;height:18pt;mso-wrap-distance-left:9.05pt;mso-wrap-distance-right:9.05pt;mso-wrap-distance-top:0pt;mso-wrap-distance-bottom:0pt;margin-top:-15pt;mso-position-vertical-relative:text;margin-left:337.05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ind w:start="-270" w:end="0"/>
        <w:rPr/>
      </w:pPr>
      <w:r>
        <w:rPr/>
      </w:r>
    </w:p>
    <w:p>
      <w:pPr>
        <w:pStyle w:val="Normal"/>
        <w:ind w:start="-270" w:end="0"/>
        <w:rPr/>
      </w:pPr>
      <w:r>
        <w:rPr/>
        <w:t>Executive Summary</w:t>
      </w:r>
    </w:p>
    <w:p>
      <w:pPr>
        <w:pStyle w:val="Normal"/>
        <w:ind w:start="-270" w:end="0"/>
        <w:rPr/>
      </w:pPr>
      <w:r>
        <w:rPr/>
        <w:t>This memo responds to two statements of your concerns.  First, was the question in the second bullet of your email to Kurt Anderson dated 5/23/02 .   The question on 5/23/02 was:   Why is the General Electric Wind Energy (GEWE) reported availability for turbine 9 so high given the downtime experienced by the turbine between 4/17/02 10:00 hrs (local time) and 4/24/02 16:00 hrs.   This will be referred to as the Turbine 9 Event in the remainder of this memo.  The second statement of your concerns were comments you verbally made to Joe Thorpe.   They were:</w:t>
      </w:r>
    </w:p>
    <w:p>
      <w:pPr>
        <w:pStyle w:val="Normal"/>
        <w:ind w:start="-270" w:end="0"/>
        <w:rPr/>
      </w:pPr>
      <w:r>
        <w:rPr/>
      </w:r>
    </w:p>
    <w:p>
      <w:pPr>
        <w:pStyle w:val="Normal"/>
        <w:numPr>
          <w:ilvl w:val="0"/>
          <w:numId w:val="2"/>
        </w:numPr>
        <w:rPr/>
      </w:pPr>
      <w:r>
        <w:rPr/>
        <w:t>The proration of the annual 48 hours per turbine credit to 4 equal hours per month is not considered accurate enough for Zilkha’s requirements and may not comply with the TSIA contract.</w:t>
      </w:r>
    </w:p>
    <w:p>
      <w:pPr>
        <w:pStyle w:val="Normal"/>
        <w:numPr>
          <w:ilvl w:val="0"/>
          <w:numId w:val="2"/>
        </w:numPr>
        <w:rPr/>
      </w:pPr>
      <w:r>
        <w:rPr/>
        <w:t xml:space="preserve">Why isn’t  availability based on 10 min data instead of 24 hour data?  </w:t>
      </w:r>
    </w:p>
    <w:p>
      <w:pPr>
        <w:pStyle w:val="Normal"/>
        <w:numPr>
          <w:ilvl w:val="0"/>
          <w:numId w:val="2"/>
        </w:numPr>
        <w:rPr/>
      </w:pPr>
      <w:r>
        <w:rPr/>
        <w:t>How could the Mon file be more accurate than the minana file if the mon file is taking samples of minana data?</w:t>
      </w:r>
    </w:p>
    <w:p>
      <w:pPr>
        <w:pStyle w:val="Normal"/>
        <w:numPr>
          <w:ilvl w:val="0"/>
          <w:numId w:val="2"/>
        </w:numPr>
        <w:rPr/>
      </w:pPr>
      <w:r>
        <w:rPr/>
        <w:t>How did faults on turbine 4 affect availability in April?</w:t>
      </w:r>
    </w:p>
    <w:p>
      <w:pPr>
        <w:pStyle w:val="Normal"/>
        <w:numPr>
          <w:ilvl w:val="0"/>
          <w:numId w:val="2"/>
        </w:numPr>
        <w:rPr/>
      </w:pPr>
      <w:r>
        <w:rPr/>
        <w:t>It is the Zilkha opinion that GEWE availabilities are overstated by 4% based on a Zilkha analysis.</w:t>
      </w:r>
    </w:p>
    <w:p>
      <w:pPr>
        <w:pStyle w:val="Header"/>
        <w:tabs>
          <w:tab w:val="clear" w:pos="4320"/>
          <w:tab w:val="clear" w:pos="8640"/>
        </w:tabs>
        <w:rPr/>
      </w:pPr>
      <w:r>
        <w:rPr/>
      </w:r>
    </w:p>
    <w:p>
      <w:pPr>
        <w:pStyle w:val="Normal"/>
        <w:rPr/>
      </w:pPr>
      <w:r>
        <w:rPr/>
      </w:r>
    </w:p>
    <w:p>
      <w:pPr>
        <w:pStyle w:val="Normal"/>
        <w:ind w:start="-270" w:end="0"/>
        <w:rPr/>
      </w:pPr>
      <w:r>
        <w:rPr/>
        <w:t>Reply  For Turbine 9 Event:</w:t>
      </w:r>
    </w:p>
    <w:p>
      <w:pPr>
        <w:pStyle w:val="Normal"/>
        <w:ind w:start="-270" w:end="0"/>
        <w:rPr/>
      </w:pPr>
      <w:r>
        <w:rPr/>
        <w:t xml:space="preserve"> </w:t>
      </w:r>
      <w:r>
        <w:rPr/>
        <w:t>Turbine 9 was taken offline during this period due to a failed brake sensor. Turbine availability drops if the repair hr clock, maintenance hr clock, or downtime hr clock increment. The local time specified in the Executive Summary equates to 4/17/02 15:00 hrs UTC and 4/24/02 21:00 UTC.  UTC is the time standard in the SCADA system. Throughout the rest of this memo SCADA times will be given unless indicated otherwise.  Minana data shows that  turbine blade1 pitched to an offline setting  between 13:40 and 13:50 hrs UTC on  4/17/02 and returned to normal between19:50 hrs UTC and 20:00 hrs UTC on 4/24/02.  Figure 1, which summarizes this Minana data, also shows that windspeeds were relatively benign during the first half of the period.   Table 1 is based on Mon file data because there was excellent data recovery.  The Mon file is not Unfortunately the Statdat file, which has availability counters sampled at 10 minute intervals, was not complete for the time period of interest.  Therefore, the Mon file is accurate at the 24 hour interval but doesn’t give insight at intervals less than 24 hours.</w:t>
      </w:r>
    </w:p>
    <w:p>
      <w:pPr>
        <w:pStyle w:val="Normal"/>
        <w:ind w:start="-270" w:end="0"/>
        <w:rPr/>
      </w:pPr>
      <w:r>
        <w:rPr/>
      </w:r>
    </w:p>
    <w:p>
      <w:pPr>
        <w:pStyle w:val="Normal"/>
        <w:ind w:start="-270" w:end="0"/>
        <w:rPr/>
      </w:pPr>
      <w:r>
        <w:rPr/>
        <w:t xml:space="preserve">Table 1 shows that, from the last nine hours of 4/20/02 till the end of the period, all 24 hours of the time offline was clearly charged to GEWE via the repair hours or maintenance hours clock.   The Table1 data also shows that prior to 13:00 hrs UTC on 4/20/02 the System OK clock continued to increment even though the turbine wasn’t able to produce power.   Typically this System OK time incrementing is due to a turbine that wasn’t released from pause mode or a manual command mode.  Although the system OK clock is not used to compute contractual availability the fact that it is incrementing means that a clock that decreases availability is not incrementing.     </w:t>
      </w:r>
    </w:p>
    <w:p>
      <w:pPr>
        <w:pStyle w:val="Normal"/>
        <w:ind w:start="-270" w:end="0"/>
        <w:rPr/>
      </w:pPr>
      <w:r>
        <w:rPr/>
      </w:r>
    </w:p>
    <w:p>
      <w:pPr>
        <w:pStyle w:val="Normal"/>
        <w:ind w:start="-270" w:end="0"/>
        <w:rPr/>
      </w:pPr>
      <w:r>
        <w:rPr/>
        <w:t>Table 1  Change in Production &amp; Availability Metrics Every 24 Hrs (Mon file data)</w:t>
      </w:r>
    </w:p>
    <w:tbl>
      <w:tblPr>
        <w:tblW w:w="10572" w:type="dxa"/>
        <w:jc w:val="start"/>
        <w:tblInd w:w="0" w:type="dxa"/>
        <w:tblLayout w:type="fixed"/>
        <w:tblCellMar>
          <w:top w:w="0" w:type="dxa"/>
          <w:start w:w="108" w:type="dxa"/>
          <w:bottom w:w="0" w:type="dxa"/>
          <w:end w:w="108" w:type="dxa"/>
        </w:tblCellMar>
      </w:tblPr>
      <w:tblGrid>
        <w:gridCol w:w="1278"/>
        <w:gridCol w:w="1350"/>
        <w:gridCol w:w="2268"/>
        <w:gridCol w:w="1419"/>
        <w:gridCol w:w="1419"/>
        <w:gridCol w:w="1419"/>
        <w:gridCol w:w="1419"/>
      </w:tblGrid>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Day</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Time, </w:t>
            </w:r>
          </w:p>
          <w:p>
            <w:pPr>
              <w:pStyle w:val="Normal"/>
              <w:jc w:val="center"/>
              <w:rPr/>
            </w:pPr>
            <w:r>
              <w:rPr/>
              <w:t>UTC</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kWh</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System OK</w:t>
            </w:r>
          </w:p>
          <w:p>
            <w:pPr>
              <w:pStyle w:val="Normal"/>
              <w:jc w:val="center"/>
              <w:rPr/>
            </w:pPr>
            <w:r>
              <w:rPr/>
              <w:t>hrs</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Downtime hrs</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Repair</w:t>
            </w:r>
          </w:p>
          <w:p>
            <w:pPr>
              <w:pStyle w:val="Normal"/>
              <w:jc w:val="center"/>
              <w:rPr/>
            </w:pPr>
            <w:r>
              <w:rPr/>
              <w:t>hrs</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Maint</w:t>
            </w:r>
          </w:p>
          <w:p>
            <w:pPr>
              <w:pStyle w:val="Normal"/>
              <w:jc w:val="center"/>
              <w:rPr/>
            </w:pPr>
            <w:r>
              <w:rPr/>
              <w:t>hrs</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4/17/02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13:00 hrs</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Start</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Start</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Start</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Start</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Start</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4/18/02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146</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6.7</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4/19/02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23.8</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.16</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.01</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4/20/02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13.75</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.91</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9.12</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4/21/02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4/22/02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4/23/02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10.9</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13.1</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4/24/02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4/25/02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707</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4.1</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.03</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19.8</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bl>
    <w:p>
      <w:pPr>
        <w:pStyle w:val="Normal"/>
        <w:ind w:start="-270" w:end="0"/>
        <w:rPr/>
      </w:pPr>
      <w:r>
        <w:rPr/>
        <w:t xml:space="preserve"> </w:t>
      </w:r>
    </w:p>
    <w:p>
      <w:pPr>
        <w:pStyle w:val="Normal"/>
        <w:ind w:start="-270" w:end="0"/>
        <w:rPr/>
      </w:pPr>
      <w:r>
        <w:rPr/>
      </w:r>
    </w:p>
    <w:p>
      <w:pPr>
        <w:pStyle w:val="Normal"/>
        <w:ind w:start="-270" w:end="0"/>
        <w:rPr/>
      </w:pPr>
      <w:r>
        <w:rPr/>
        <w:t>Reply to Five Questions Given to Joe Thorpe</w:t>
      </w:r>
    </w:p>
    <w:p>
      <w:pPr>
        <w:pStyle w:val="Normal"/>
        <w:ind w:start="-270" w:end="0"/>
        <w:rPr/>
      </w:pPr>
      <w:r>
        <w:rPr/>
      </w:r>
    </w:p>
    <w:p>
      <w:pPr>
        <w:pStyle w:val="Normal"/>
        <w:ind w:start="-270" w:end="0"/>
        <w:rPr/>
      </w:pPr>
      <w:r>
        <w:rPr/>
        <w:t>The TSIA contract does not mention exactly how the 48 hrs credit per year is to be applied.  The GEWE approach was not chosen to deceptively adjust availability. The MT correction of four hours per month was used to fairly apply this prorated credit in a manner that is easy to explain &amp; substantiate with the owner.  Mike Kelly’s comment that that we’ve never applied the MT correction this way in the past may be misleading even though it is factually correct.   The past contracts that Mike Kelly is familiar with have a different contractual basis for MT correction as compared to your contract.  Therefore, we didn’t alter an existing MT computation process to adjust Mill Run numbers to our benefit as Mike’s comment may imply.   We developed a new MT computation process based on your new  contract requirements.  You have clearly stated your preference for MT correction applied only in the months where maintenances are done and we will assess the changes needed to meet your preference.</w:t>
      </w:r>
    </w:p>
    <w:p>
      <w:pPr>
        <w:pStyle w:val="Normal"/>
        <w:ind w:start="-270" w:end="0"/>
        <w:rPr/>
      </w:pPr>
      <w:r>
        <w:rPr/>
      </w:r>
    </w:p>
    <w:p>
      <w:pPr>
        <w:pStyle w:val="Normal"/>
        <w:ind w:start="-270" w:end="0"/>
        <w:rPr/>
      </w:pPr>
      <w:r>
        <w:rPr/>
        <w:t>The 24 hour based Mon data was used to compute monthly availability instead of Minana or Statdat data because it enables more rapid delivery of availability results to the owner without any sacrifice in accuracy of the monthly availability.  The Mon data is as suitable for computing a monthly availability as the faster sampled data although it does not give insight into short duration trends which we agree is valuable for deriving other metrics.   The monthly availability in the owner report is accurate because it is computed from accumulating hour counters in the Mon file.   The Mon file logs the same source, PLC turbine data, as the Minana &amp; Statdat files and logs the data to the same accuracy (but slower sampling rate) as these files.   Testing by the GEWE Controller Group has confirmed that the turbine controller clocks stored in Mon file increment when the appropriate triggering condition occurs.</w:t>
      </w:r>
    </w:p>
    <w:p>
      <w:pPr>
        <w:pStyle w:val="Normal"/>
        <w:ind w:start="-270" w:end="0"/>
        <w:rPr/>
      </w:pPr>
      <w:r>
        <w:rPr/>
      </w:r>
    </w:p>
    <w:p>
      <w:pPr>
        <w:pStyle w:val="Normal"/>
        <w:ind w:start="-270" w:end="0"/>
        <w:rPr/>
      </w:pPr>
      <w:r>
        <w:rPr/>
        <w:t xml:space="preserve">We assume the missing data problem you refer to in Minana and Statdat has to do with two possible causes.   The first cause is not downloading the data within the limited number of days before overwriting of data occurs.   The second is that there is no communication between the turbine and SCADA logging device at the sampling time.   If missing gaps in Minana or Statdata data  are due solely to overwritten data then the Mon data will still be accurate for monthly availability reporting because there is no overwriting of data in the Mon file.   If gaps occur in Minana or Statdat due to communication losses </w:t>
      </w:r>
      <w:r>
        <w:rPr>
          <w:b/>
        </w:rPr>
        <w:t>between</w:t>
      </w:r>
      <w:r>
        <w:rPr/>
        <w:t xml:space="preserve"> the Mon file (24 hr) sampling points then the Mon file will still be accurate.  If gaps occur in Minana or Statdat due to communication losses </w:t>
      </w:r>
      <w:r>
        <w:rPr>
          <w:b/>
        </w:rPr>
        <w:t>during</w:t>
      </w:r>
      <w:r>
        <w:rPr/>
        <w:t xml:space="preserve"> the Mon file sampling points but before the end and start of the month then the Mon file based availability will still be accurate.   The only case where the Mon file based availability will be inaccurate, when there are gaps in the faster sampling rate files, is when:</w:t>
      </w:r>
    </w:p>
    <w:p>
      <w:pPr>
        <w:pStyle w:val="Normal"/>
        <w:ind w:start="-270" w:end="0"/>
        <w:rPr/>
      </w:pPr>
      <w:r>
        <w:rPr/>
      </w:r>
    </w:p>
    <w:p>
      <w:pPr>
        <w:pStyle w:val="Normal"/>
        <w:numPr>
          <w:ilvl w:val="0"/>
          <w:numId w:val="1"/>
        </w:numPr>
        <w:rPr/>
      </w:pPr>
      <w:r>
        <w:rPr/>
        <w:t>Turbine communication is lost at the beginning or end of the month, AND</w:t>
      </w:r>
    </w:p>
    <w:p>
      <w:pPr>
        <w:pStyle w:val="Normal"/>
        <w:numPr>
          <w:ilvl w:val="0"/>
          <w:numId w:val="1"/>
        </w:numPr>
        <w:rPr/>
      </w:pPr>
      <w:r>
        <w:rPr/>
        <w:t xml:space="preserve"> </w:t>
      </w:r>
      <w:r>
        <w:rPr/>
        <w:t>the turbine communication is not reestablished near the endpoints of the future or previous months,  AND</w:t>
      </w:r>
    </w:p>
    <w:p>
      <w:pPr>
        <w:pStyle w:val="Normal"/>
        <w:numPr>
          <w:ilvl w:val="0"/>
          <w:numId w:val="1"/>
        </w:numPr>
        <w:rPr/>
      </w:pPr>
      <w:r>
        <w:rPr/>
        <w:t>and the turbine and grid operated normally during the period of comm loss.</w:t>
      </w:r>
    </w:p>
    <w:p>
      <w:pPr>
        <w:pStyle w:val="Normal"/>
        <w:ind w:start="720" w:end="0"/>
        <w:rPr/>
      </w:pPr>
      <w:r>
        <w:rPr/>
      </w:r>
    </w:p>
    <w:p>
      <w:pPr>
        <w:pStyle w:val="BodyTextIndent"/>
        <w:rPr/>
      </w:pPr>
      <w:r>
        <w:rPr/>
        <w:t>Obviously this should be a rare condition because of the many conditions that must occur simultaneously.</w:t>
      </w:r>
    </w:p>
    <w:p>
      <w:pPr>
        <w:pStyle w:val="Normal"/>
        <w:rPr/>
      </w:pPr>
      <w:r>
        <w:rPr/>
      </w:r>
    </w:p>
    <w:p>
      <w:pPr>
        <w:pStyle w:val="Normal"/>
        <w:rPr/>
      </w:pPr>
      <w:r>
        <w:rPr/>
      </w:r>
    </w:p>
    <w:p>
      <w:pPr>
        <w:pStyle w:val="Normal"/>
        <w:ind w:start="-270" w:end="0"/>
        <w:rPr/>
      </w:pPr>
      <w:r>
        <w:rPr/>
        <w:t>GEWE hasn’t overstated availability by 4% even though the availabilities will be lowered when the MT proration logic is changed.   The 4% result was based on an analysis based on data that is not as reliable as the corrected Mon file data that the GEWE reports are based on.</w:t>
      </w:r>
    </w:p>
    <w:sectPr>
      <w:headerReference w:type="default" r:id="rId2"/>
      <w:headerReference w:type="first" r:id="rId3"/>
      <w:type w:val="nextPage"/>
      <w:pgSz w:w="12240" w:h="15840"/>
      <w:pgMar w:left="1440" w:right="1080" w:gutter="0" w:header="0" w:top="180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440" w:end="0"/>
      <w:rPr/>
    </w:pPr>
    <w:r>
      <w:rPr/>
      <w:drawing>
        <wp:inline distT="0" distB="0" distL="0" distR="0">
          <wp:extent cx="7823200" cy="151638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1"/>
                  <a:srcRect l="-5" t="-24" r="-5" b="-24"/>
                  <a:stretch>
                    <a:fillRect/>
                  </a:stretch>
                </pic:blipFill>
                <pic:spPr bwMode="auto">
                  <a:xfrm>
                    <a:off x="0" y="0"/>
                    <a:ext cx="7823200" cy="151638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440" w:end="0"/>
      <w:rPr/>
    </w:pPr>
    <w:r>
      <w:rPr/>
      <w:drawing>
        <wp:inline distT="0" distB="0" distL="0" distR="0">
          <wp:extent cx="7823200" cy="2564130"/>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1"/>
                  <a:srcRect l="-5" t="-14" r="-5" b="-14"/>
                  <a:stretch>
                    <a:fillRect/>
                  </a:stretch>
                </pic:blipFill>
                <pic:spPr bwMode="auto">
                  <a:xfrm>
                    <a:off x="0" y="0"/>
                    <a:ext cx="7823200" cy="256413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7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2002-05-29T15:40:00Z</dcterms:created>
  <dc:creator>Chris Benham</dc:creator>
  <dc:description/>
  <dc:language>en-CA</dc:language>
  <cp:lastModifiedBy>Mark-Walker</cp:lastModifiedBy>
  <cp:lastPrinted>2002-05-29T13:51:00Z</cp:lastPrinted>
  <dcterms:modified xsi:type="dcterms:W3CDTF">2002-06-11T14:32:00Z</dcterms:modified>
  <cp:revision>17</cp:revision>
  <dc:subject/>
  <dc:title>Date:</dc:title>
</cp:coreProperties>
</file>