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object w:dxaOrig="3946" w:dyaOrig="93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97.3pt;height:46.95pt" filled="f" o:ole="">
            <v:imagedata r:id="rId3" o:title=""/>
          </v:shape>
          <o:OLEObject Type="Embed" ProgID="" ShapeID="ole_rId2" DrawAspect="Content" ObjectID="_693821897" r:id="rId2"/>
        </w:object>
      </w:r>
      <w:r>
        <mc:AlternateContent>
          <mc:Choice Requires="wps">
            <w:drawing>
              <wp:anchor behindDoc="0" distT="0" distB="0" distL="114935" distR="114935" simplePos="0" locked="0" layoutInCell="1" allowOverlap="1" relativeHeight="4">
                <wp:simplePos x="0" y="0"/>
                <wp:positionH relativeFrom="column">
                  <wp:posOffset>640080</wp:posOffset>
                </wp:positionH>
                <wp:positionV relativeFrom="paragraph">
                  <wp:posOffset>365760</wp:posOffset>
                </wp:positionV>
                <wp:extent cx="1920875" cy="182880"/>
                <wp:effectExtent l="0" t="0" r="0" b="0"/>
                <wp:wrapNone/>
                <wp:docPr id="1" name="Frame1"/>
                <a:graphic xmlns:a="http://schemas.openxmlformats.org/drawingml/2006/main">
                  <a:graphicData uri="http://schemas.microsoft.com/office/word/2010/wordprocessingShape">
                    <wps:wsp>
                      <wps:cNvSpPr txBox="1"/>
                      <wps:spPr>
                        <a:xfrm>
                          <a:off x="0" y="0"/>
                          <a:ext cx="1920875" cy="182880"/>
                        </a:xfrm>
                        <a:prstGeom prst="rect"/>
                        <a:solidFill>
                          <a:srgbClr val="FFFFFF"/>
                        </a:solidFill>
                      </wps:spPr>
                      <wps:txbx>
                        <w:txbxContent>
                          <w:p>
                            <w:pPr>
                              <w:pStyle w:val="Normal"/>
                              <w:rPr/>
                            </w:pPr>
                            <w:r>
                              <w:rPr>
                                <w:rFonts w:eastAsia="Haettenschweiler" w:cs="Haettenschweiler" w:ascii="Haettenschweiler" w:hAnsi="Haettenschweiler"/>
                                <w:sz w:val="20"/>
                              </w:rPr>
                              <w:t xml:space="preserve">    </w:t>
                            </w:r>
                            <w:r>
                              <w:rPr>
                                <w:rFonts w:cs="Arial Narrow" w:ascii="Arial Narrow" w:hAnsi="Arial Narrow"/>
                                <w:sz w:val="18"/>
                              </w:rPr>
                              <w:t>Consulting</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sz w:val="22"/>
                              </w:rPr>
                              <w:t xml:space="preserve"> </w:t>
                            </w:r>
                            <w:r>
                              <w:rPr>
                                <w:rFonts w:cs="Arial Narrow" w:ascii="Arial Narrow" w:hAnsi="Arial Narrow"/>
                                <w:sz w:val="18"/>
                              </w:rPr>
                              <w:t>Representation</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position w:val="4"/>
                                <w:sz w:val="22"/>
                              </w:rPr>
                              <w:t xml:space="preserve"> </w:t>
                            </w:r>
                            <w:r>
                              <w:rPr>
                                <w:rFonts w:cs="Arial Narrow" w:ascii="Arial Narrow" w:hAnsi="Arial Narrow"/>
                                <w:sz w:val="18"/>
                              </w:rPr>
                              <w:t>Advocacy</w:t>
                            </w:r>
                          </w:p>
                        </w:txbxContent>
                      </wps:txbx>
                      <wps:bodyPr anchor="t" lIns="13335" tIns="13335" rIns="13335" bIns="13335">
                        <a:noAutofit/>
                      </wps:bodyPr>
                    </wps:wsp>
                  </a:graphicData>
                </a:graphic>
              </wp:anchor>
            </w:drawing>
          </mc:Choice>
          <mc:Fallback>
            <w:pict>
              <v:rect fillcolor="#FFFFFF" style="position:absolute;rotation:-0;width:151.25pt;height:14.4pt;mso-wrap-distance-left:9.05pt;mso-wrap-distance-right:9.05pt;mso-wrap-distance-top:0pt;mso-wrap-distance-bottom:0pt;margin-top:28.8pt;mso-position-vertical-relative:text;margin-left:50.4pt;mso-position-horizontal-relative:text">
                <v:textbox inset="0.0145833333333333in,0.0145833333333333in,0.0145833333333333in,0.0145833333333333in">
                  <w:txbxContent>
                    <w:p>
                      <w:pPr>
                        <w:pStyle w:val="Normal"/>
                        <w:rPr/>
                      </w:pPr>
                      <w:r>
                        <w:rPr>
                          <w:rFonts w:eastAsia="Haettenschweiler" w:cs="Haettenschweiler" w:ascii="Haettenschweiler" w:hAnsi="Haettenschweiler"/>
                          <w:sz w:val="20"/>
                        </w:rPr>
                        <w:t xml:space="preserve">    </w:t>
                      </w:r>
                      <w:r>
                        <w:rPr>
                          <w:rFonts w:cs="Arial Narrow" w:ascii="Arial Narrow" w:hAnsi="Arial Narrow"/>
                          <w:sz w:val="18"/>
                        </w:rPr>
                        <w:t>Consulting</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sz w:val="22"/>
                        </w:rPr>
                        <w:t xml:space="preserve"> </w:t>
                      </w:r>
                      <w:r>
                        <w:rPr>
                          <w:rFonts w:cs="Arial Narrow" w:ascii="Arial Narrow" w:hAnsi="Arial Narrow"/>
                          <w:sz w:val="18"/>
                        </w:rPr>
                        <w:t>Representation</w:t>
                      </w:r>
                      <w:r>
                        <w:rPr>
                          <w:rFonts w:cs="Haettenschweiler" w:ascii="Haettenschweiler" w:hAnsi="Haettenschweiler"/>
                          <w:sz w:val="22"/>
                        </w:rPr>
                        <w:t xml:space="preserve"> </w:t>
                      </w:r>
                      <w:r>
                        <w:rPr>
                          <w:rFonts w:eastAsia="Monotype Sorts" w:cs="Monotype Sorts" w:ascii="Monotype Sorts" w:hAnsi="Monotype Sorts"/>
                          <w:position w:val="4"/>
                          <w:sz w:val="10"/>
                        </w:rPr>
                        <w:sym w:font="Monotype Sorts" w:char="f06e"/>
                      </w:r>
                      <w:r>
                        <w:rPr>
                          <w:rFonts w:cs="Haettenschweiler" w:ascii="Haettenschweiler" w:hAnsi="Haettenschweiler"/>
                          <w:position w:val="4"/>
                          <w:sz w:val="22"/>
                        </w:rPr>
                        <w:t xml:space="preserve"> </w:t>
                      </w:r>
                      <w:r>
                        <w:rPr>
                          <w:rFonts w:cs="Arial Narrow" w:ascii="Arial Narrow" w:hAnsi="Arial Narrow"/>
                          <w:sz w:val="18"/>
                        </w:rPr>
                        <w:t>Advocacy</w:t>
                      </w:r>
                    </w:p>
                  </w:txbxContent>
                </v:textbox>
                <w10:wrap type="none"/>
              </v:rect>
            </w:pict>
          </mc:Fallback>
        </mc:AlternateContent>
      </w:r>
    </w:p>
    <w:p>
      <w:pPr>
        <w:sectPr>
          <w:footerReference w:type="default" r:id="rId4"/>
          <w:type w:val="nextPage"/>
          <w:pgSz w:w="12240" w:h="15840"/>
          <w:pgMar w:left="720" w:right="1800" w:gutter="0" w:header="0" w:top="720" w:footer="720" w:bottom="1440"/>
          <w:pgNumType w:fmt="decimal"/>
          <w:formProt w:val="false"/>
          <w:textDirection w:val="lrTb"/>
          <w:docGrid w:type="default" w:linePitch="360" w:charSpace="0"/>
        </w:sectPr>
      </w:pP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ab/>
        <w:tab/>
        <w:tab/>
        <w:tab/>
        <w:tab/>
        <w:tab/>
        <w:t>January 5, 2001</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sz w:val="24"/>
        </w:rPr>
      </w:pPr>
      <w:r>
        <w:rPr>
          <w:sz w:val="24"/>
        </w:rPr>
        <w:t>MEMORANDUM</w:t>
      </w:r>
    </w:p>
    <w:p>
      <w:pPr>
        <w:pStyle w:val="Normal"/>
        <w:rPr>
          <w:rFonts w:ascii="Arial" w:hAnsi="Arial" w:cs="Arial"/>
          <w:sz w:val="24"/>
        </w:rPr>
      </w:pPr>
      <w:r>
        <w:rPr>
          <w:rFonts w:cs="Arial" w:ascii="Arial" w:hAnsi="Arial"/>
          <w:sz w:val="24"/>
        </w:rPr>
      </w:r>
    </w:p>
    <w:p>
      <w:pPr>
        <w:pStyle w:val="Normal"/>
        <w:rPr>
          <w:rFonts w:ascii="Arial" w:hAnsi="Arial" w:cs="Arial"/>
        </w:rPr>
      </w:pPr>
      <w:r>
        <w:rPr>
          <w:rFonts w:cs="Arial" w:ascii="Arial" w:hAnsi="Arial"/>
        </w:rPr>
        <w:t>To:</w:t>
        <w:tab/>
        <w:tab/>
        <w:t>Jan Smutny-Jones</w:t>
      </w:r>
    </w:p>
    <w:p>
      <w:pPr>
        <w:pStyle w:val="Normal"/>
        <w:rPr>
          <w:rFonts w:ascii="Arial" w:hAnsi="Arial" w:cs="Arial"/>
        </w:rPr>
      </w:pPr>
      <w:r>
        <w:rPr>
          <w:rFonts w:cs="Arial" w:ascii="Arial" w:hAnsi="Arial"/>
        </w:rPr>
        <w:tab/>
        <w:tab/>
        <w:t>Steven Kelley</w:t>
      </w:r>
    </w:p>
    <w:p>
      <w:pPr>
        <w:pStyle w:val="Normal"/>
        <w:rPr>
          <w:rFonts w:ascii="Arial" w:hAnsi="Arial" w:cs="Arial"/>
        </w:rPr>
      </w:pPr>
      <w:r>
        <w:rPr>
          <w:rFonts w:cs="Arial" w:ascii="Arial" w:hAnsi="Arial"/>
        </w:rPr>
        <w:tab/>
        <w:tab/>
        <w:t>Katie Kaplan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From:</w:t>
        <w:tab/>
        <w:tab/>
        <w:t>Julee Malinowski-Ball</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Re:</w:t>
        <w:tab/>
        <w:tab/>
        <w:t>IEP Legislative Proposals</w:t>
      </w:r>
    </w:p>
    <w:p>
      <w:pPr>
        <w:pStyle w:val="Normal"/>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5">
                <wp:simplePos x="0" y="0"/>
                <wp:positionH relativeFrom="column">
                  <wp:posOffset>0</wp:posOffset>
                </wp:positionH>
                <wp:positionV relativeFrom="paragraph">
                  <wp:posOffset>96520</wp:posOffset>
                </wp:positionV>
                <wp:extent cx="5372100" cy="0"/>
                <wp:effectExtent l="0" t="19050" r="0" b="19050"/>
                <wp:wrapNone/>
                <wp:docPr id="3" name=""/>
                <a:graphic xmlns:a="http://schemas.openxmlformats.org/drawingml/2006/main">
                  <a:graphicData uri="http://schemas.microsoft.com/office/word/2010/wordprocessingShape">
                    <wps:wsp>
                      <wps:cNvSpPr/>
                      <wps:spPr>
                        <a:xfrm>
                          <a:off x="0" y="0"/>
                          <a:ext cx="537228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7.6pt" to="422.95pt,7.6pt" stroked="t" o:allowincell="f" style="position:absolute">
                <v:stroke color="black" weight="38160" joinstyle="miter" endcap="flat"/>
                <v:fill o:detectmouseclick="t" on="false"/>
                <w10:wrap type="none"/>
              </v:line>
            </w:pict>
          </mc:Fallback>
        </mc:AlternateContent>
      </w:r>
    </w:p>
    <w:p>
      <w:pPr>
        <w:pStyle w:val="Normal"/>
        <w:rPr>
          <w:rFonts w:ascii="Arial" w:hAnsi="Arial" w:cs="Arial"/>
        </w:rPr>
      </w:pPr>
      <w:r>
        <w:rPr>
          <w:rFonts w:cs="Arial" w:ascii="Arial" w:hAnsi="Arial"/>
        </w:rPr>
      </w:r>
    </w:p>
    <w:p>
      <w:pPr>
        <w:pStyle w:val="Normal"/>
        <w:rPr/>
      </w:pPr>
      <w:r>
        <w:rPr>
          <w:rFonts w:cs="Arial" w:ascii="Arial" w:hAnsi="Arial"/>
        </w:rPr>
        <w:t>At the December 5</w:t>
      </w:r>
      <w:r>
        <w:rPr>
          <w:rFonts w:cs="Arial" w:ascii="Arial" w:hAnsi="Arial"/>
          <w:vertAlign w:val="superscript"/>
        </w:rPr>
        <w:t>th</w:t>
      </w:r>
      <w:r>
        <w:rPr>
          <w:rFonts w:cs="Arial" w:ascii="Arial" w:hAnsi="Arial"/>
        </w:rPr>
        <w:t xml:space="preserve"> Board meeting, the IEP Board agreed to sponsor a few pieces of legislation.  We have asked Ellison &amp; Schneider to move forwarding on drafting the following proposals:  </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An overall policy statement bill directing the CPUC to adopt utility procurement, retail market, and rate design policies that will stabilize rates, give customers choices among competing suppliers and supply  options, increase energy conservation and demand-side management alternatives, and increase transmission and generation supplies.</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rPr>
        <w:t>A siting bill that would require the CEC to consider the positive environmental impacts of proposed projects when analyzing alternatives to proposed projects, including the "no project" alternative.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regard to long-term contracts, the Board agreed to let PG&amp;E take the lead since they were already in the drafting stages, and IEP would provide a supporting role.</w:t>
      </w:r>
    </w:p>
    <w:p>
      <w:pPr>
        <w:pStyle w:val="Normal"/>
        <w:rPr>
          <w:rFonts w:ascii="Arial" w:hAnsi="Arial" w:cs="Arial"/>
        </w:rPr>
      </w:pPr>
      <w:r>
        <w:rPr>
          <w:rFonts w:cs="Arial" w:ascii="Arial" w:hAnsi="Arial"/>
        </w:rPr>
      </w:r>
    </w:p>
    <w:p>
      <w:pPr>
        <w:pStyle w:val="BodyText"/>
        <w:rPr>
          <w:rFonts w:ascii="Arial" w:hAnsi="Arial" w:cs="Arial"/>
          <w:u w:val="single"/>
        </w:rPr>
      </w:pPr>
      <w:r>
        <w:rPr>
          <w:rFonts w:cs="Arial" w:ascii="Arial" w:hAnsi="Arial"/>
          <w:u w:val="single"/>
        </w:rPr>
        <w:t>IEP needs to address a few additional legislation proposals as soon as possible.</w:t>
      </w:r>
    </w:p>
    <w:p>
      <w:pPr>
        <w:pStyle w:val="BodyText"/>
        <w:rPr>
          <w:rFonts w:ascii="Arial" w:hAnsi="Arial" w:cs="Arial"/>
          <w:u w:val="single"/>
        </w:rPr>
      </w:pPr>
      <w:r>
        <w:rPr>
          <w:rFonts w:cs="Arial" w:ascii="Arial" w:hAnsi="Arial"/>
          <w:u w:val="single"/>
        </w:rPr>
      </w:r>
    </w:p>
    <w:p>
      <w:pPr>
        <w:pStyle w:val="Normal"/>
        <w:numPr>
          <w:ilvl w:val="0"/>
          <w:numId w:val="4"/>
        </w:numPr>
        <w:rPr>
          <w:rFonts w:ascii="Arial" w:hAnsi="Arial" w:cs="Arial"/>
        </w:rPr>
      </w:pPr>
      <w:r>
        <w:rPr>
          <w:rFonts w:cs="Arial" w:ascii="Arial" w:hAnsi="Arial"/>
        </w:rPr>
        <w:t>PG&amp;E has since been quiet about the long-term contracting proposal and there has been no additional stakeholders meetings.  They have informed me they don’t know what they want to do with it yet or whether or not it would make any difference.  Since this is something Senator Machado is very interested in and has requested language, I would recommend that IEP move ahead of PG&amp;E on this and draft language, possibly with their input.</w:t>
      </w:r>
    </w:p>
    <w:p>
      <w:pPr>
        <w:pStyle w:val="Normal"/>
        <w:rPr>
          <w:rFonts w:ascii="Arial" w:hAnsi="Arial" w:cs="Arial"/>
        </w:rPr>
      </w:pPr>
      <w:r>
        <w:rPr>
          <w:rFonts w:cs="Arial" w:ascii="Arial" w:hAnsi="Arial"/>
        </w:rPr>
      </w:r>
    </w:p>
    <w:p>
      <w:pPr>
        <w:pStyle w:val="Normal"/>
        <w:numPr>
          <w:ilvl w:val="0"/>
          <w:numId w:val="4"/>
        </w:numPr>
        <w:rPr>
          <w:rFonts w:ascii="Arial" w:hAnsi="Arial" w:cs="Arial"/>
          <w:b/>
        </w:rPr>
      </w:pPr>
      <w:r>
        <w:rPr>
          <w:rFonts w:cs="Arial" w:ascii="Arial" w:hAnsi="Arial"/>
        </w:rPr>
        <w:t xml:space="preserve">From the legislative meetings IEP has had so far, the Republicans, and even some Democrats, including Asm. Rod Wright, want to pursue streamlining the siting process.  Legislators are looking to IEP for guidance.  For now, we have been providing the list of ideas put together by Karen Edson and Chris Ellison and presented to John Stevens in the Governor’s office last summer (attached).  IEP needs to decide which of these, if any, or other streamlining ideas we may want to sponsor (in addition to the one previously approved). </w:t>
      </w:r>
      <w:r>
        <w:rPr>
          <w:rFonts w:cs="Arial" w:ascii="Arial" w:hAnsi="Arial"/>
          <w:b/>
        </w:rPr>
        <w:t xml:space="preserve"> </w:t>
      </w:r>
      <w:r>
        <w:rPr>
          <w:rFonts w:cs="Arial" w:ascii="Arial" w:hAnsi="Arial"/>
        </w:rPr>
        <w:t xml:space="preserve">Republican Senator Bill Morrow, who is likely to be the Senate Energy Committee vice chair, specifically requested that IEP draft language requiring the CEC to develop a criteria for them to override local governments on a proposed power plant. </w:t>
      </w:r>
    </w:p>
    <w:p>
      <w:pPr>
        <w:pStyle w:val="Normal"/>
        <w:rPr>
          <w:rFonts w:ascii="Arial" w:hAnsi="Arial" w:cs="Arial"/>
          <w:b/>
        </w:rPr>
      </w:pPr>
      <w:r>
        <w:rPr>
          <w:rFonts w:cs="Arial" w:ascii="Arial" w:hAnsi="Arial"/>
          <w:b/>
        </w:rPr>
      </w:r>
    </w:p>
    <w:p>
      <w:pPr>
        <w:pStyle w:val="Normal"/>
        <w:numPr>
          <w:ilvl w:val="0"/>
          <w:numId w:val="4"/>
        </w:numPr>
        <w:rPr>
          <w:rFonts w:ascii="Arial" w:hAnsi="Arial" w:cs="Arial"/>
        </w:rPr>
      </w:pPr>
      <w:r>
        <w:rPr>
          <w:rFonts w:cs="Arial" w:ascii="Arial" w:hAnsi="Arial"/>
        </w:rPr>
        <w:t xml:space="preserve">Another component of the generation issue at this point is incentives.  There has been talk recently about providing financial incentives for the building of power plants or providing state financing to build certain types of power plants.  The State Treasurer even has a financing authority proposal.  IEP needs to develop a policy statement on incentives that says something like: private capital is already being invested, nine facilities have already been permitted, and any incentives or state funds should be available uniformly, not supporting one type of plant or available to one entity or another, and what is needed is regulatory stability and not threats of condemnation. </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 xml:space="preserve">Asm. Rod Wright noted at the Republican caucus briefing this week that there should be a CEQA exemption for repowering power plants.  The first question is whether or not IEP would support something like this.  As with other incentive ideas, is this the right year to be asking for this level of assistance?  Tightening up the siting process is one thing, CEQA exemptions are a whole other ball of wax.  </w:t>
      </w:r>
    </w:p>
    <w:p>
      <w:pPr>
        <w:pStyle w:val="NormalWeb"/>
        <w:spacing w:before="0" w:after="0"/>
        <w:rPr>
          <w:rFonts w:ascii="Arial" w:hAnsi="Arial" w:cs="Arial"/>
        </w:rPr>
      </w:pPr>
      <w:r>
        <w:rPr>
          <w:rFonts w:cs="Arial" w:ascii="Arial" w:hAnsi="Arial"/>
        </w:rPr>
      </w:r>
    </w:p>
    <w:p>
      <w:pPr>
        <w:pStyle w:val="Normal"/>
        <w:ind w:start="360" w:end="0"/>
        <w:rPr>
          <w:rFonts w:ascii="Arial" w:hAnsi="Arial" w:cs="Arial"/>
        </w:rPr>
      </w:pPr>
      <w:r>
        <w:rPr>
          <w:rFonts w:cs="Arial" w:ascii="Arial" w:hAnsi="Arial"/>
        </w:rPr>
        <w:t>On this point, it is important to note that I heard a rumor that the U&amp;C Committee is going to be stacked with 10 Democrats and only 3 Republicans.  The design of this tells me one thing: the Speaker wants to keep the Chair under control.  Asm. Wright may need us to tell him this isn’t the year to fight CEQA, even as reasonable as it sounds.</w:t>
      </w:r>
    </w:p>
    <w:p>
      <w:pPr>
        <w:pStyle w:val="Normal"/>
        <w:rPr>
          <w:rFonts w:ascii="Arial" w:hAnsi="Arial" w:cs="Arial"/>
        </w:rPr>
      </w:pPr>
      <w:r>
        <w:rPr>
          <w:rFonts w:cs="Arial" w:ascii="Arial" w:hAnsi="Arial"/>
        </w:rPr>
      </w:r>
    </w:p>
    <w:p>
      <w:pPr>
        <w:pStyle w:val="Normal"/>
        <w:numPr>
          <w:ilvl w:val="0"/>
          <w:numId w:val="4"/>
        </w:numPr>
        <w:tabs>
          <w:tab w:val="clear" w:pos="720"/>
        </w:tabs>
        <w:rPr>
          <w:rFonts w:ascii="Arial" w:hAnsi="Arial" w:cs="Arial"/>
        </w:rPr>
      </w:pPr>
      <w:r>
        <w:rPr>
          <w:rFonts w:cs="Arial" w:ascii="Arial" w:hAnsi="Arial"/>
        </w:rPr>
        <w:t>As discussed in yesterday’s staff meeting, does IEP want to sponsor legislation which would give the CPUC the same information as FERC, and possibly policing powers, in relation to scheduled outages?  This would be designed initially as a PR effort to show that California’s new generators have nothing to hide when it comes to outages, scheduled or nor.  If successful, the legislation would subsequently take the heat off generators in future debates on this issue.  The downside would be exposing ourselves to issues we would prefer not get addressed in the Legislature.</w:t>
      </w:r>
    </w:p>
    <w:p>
      <w:pPr>
        <w:pStyle w:val="Normal"/>
        <w:rPr>
          <w:rFonts w:ascii="Arial" w:hAnsi="Arial" w:cs="Arial"/>
        </w:rPr>
      </w:pPr>
      <w:r>
        <w:rPr>
          <w:rFonts w:cs="Arial" w:ascii="Arial" w:hAnsi="Arial"/>
        </w:rPr>
      </w:r>
    </w:p>
    <w:p>
      <w:pPr>
        <w:pStyle w:val="Normal"/>
        <w:numPr>
          <w:ilvl w:val="0"/>
          <w:numId w:val="4"/>
        </w:numPr>
        <w:tabs>
          <w:tab w:val="clear" w:pos="720"/>
        </w:tabs>
        <w:rPr>
          <w:rFonts w:ascii="Arial" w:hAnsi="Arial" w:cs="Arial"/>
        </w:rPr>
      </w:pPr>
      <w:r>
        <w:rPr>
          <w:rFonts w:cs="Arial" w:ascii="Arial" w:hAnsi="Arial"/>
        </w:rPr>
        <w:t>Finally, Steven has talked about several renewable legislation ideas.  Steven is going to meet with CEC folks, and I am trying to get an appointment with Kip Lipper to get a feel for what might be possible this year.  We should hold off on this issue until we first get some signals from these sources.</w:t>
      </w:r>
    </w:p>
    <w:p>
      <w:pPr>
        <w:pStyle w:val="BodyTextIndent"/>
        <w:ind w:start="0" w:end="0"/>
        <w:rPr>
          <w:rFonts w:ascii="Arial" w:hAnsi="Arial" w:cs="Arial"/>
        </w:rPr>
      </w:pPr>
      <w:r>
        <w:rPr>
          <w:rFonts w:cs="Arial"/>
        </w:rPr>
      </w:r>
    </w:p>
    <w:p>
      <w:pPr>
        <w:pStyle w:val="BodyTextIndent"/>
        <w:ind w:start="0" w:end="0"/>
        <w:rPr/>
      </w:pPr>
      <w:r>
        <w:rPr/>
        <w:t xml:space="preserve">When contemplating all these options, I provide my usual disclaimer for this legislative session: keeping a low profile is not a bad thing.  Maintaining our strong PR effort is a good thing, but we should always be thinking twice about being out front on legislation. </w:t>
      </w:r>
    </w:p>
    <w:p>
      <w:pPr>
        <w:sectPr>
          <w:type w:val="continuous"/>
          <w:pgSz w:w="12240" w:h="15840"/>
          <w:pgMar w:left="1440" w:right="1440" w:gutter="0" w:header="0" w:top="720" w:footer="720" w:bottom="1440"/>
          <w:formProt w:val="false"/>
          <w:textDirection w:val="lrTb"/>
          <w:docGrid w:type="default" w:linePitch="360" w:charSpace="0"/>
        </w:sectPr>
      </w:pPr>
    </w:p>
    <w:p>
      <w:pPr>
        <w:pStyle w:val="Heading1"/>
        <w:ind w:hanging="0" w:start="0"/>
        <w:jc w:val="start"/>
        <w:rPr>
          <w:sz w:val="24"/>
        </w:rPr>
      </w:pPr>
      <w:r>
        <w:rPr>
          <w:sz w:val="24"/>
        </w:rPr>
        <w:t>Administrative</w:t>
      </w:r>
    </w:p>
    <w:p>
      <w:pPr>
        <w:pStyle w:val="Normal"/>
        <w:rPr>
          <w:rFonts w:ascii="Arial" w:hAnsi="Arial" w:cs="Arial"/>
          <w:sz w:val="24"/>
        </w:rPr>
      </w:pPr>
      <w:r>
        <w:rPr>
          <w:rFonts w:cs="Arial" w:ascii="Arial" w:hAnsi="Arial"/>
          <w:sz w:val="24"/>
        </w:rPr>
      </w:r>
    </w:p>
    <w:p>
      <w:pPr>
        <w:pStyle w:val="Normal"/>
        <w:numPr>
          <w:ilvl w:val="1"/>
          <w:numId w:val="3"/>
        </w:numPr>
        <w:tabs>
          <w:tab w:val="clear" w:pos="720"/>
        </w:tabs>
        <w:ind w:hanging="360" w:start="720" w:end="0"/>
        <w:rPr>
          <w:rFonts w:ascii="Arial" w:hAnsi="Arial" w:cs="Arial"/>
        </w:rPr>
      </w:pPr>
      <w:r>
        <w:rPr>
          <w:rFonts w:cs="Arial" w:ascii="Arial" w:hAnsi="Arial"/>
          <w:b/>
        </w:rPr>
        <w:t>Stiffen Resistance to NIMBY Opposition</w:t>
      </w:r>
    </w:p>
    <w:p>
      <w:pPr>
        <w:pStyle w:val="BodyTextIndent"/>
        <w:rPr/>
      </w:pPr>
      <w:r>
        <w:rPr/>
        <w:t>The CEC process is designed to give deference to critics of proposed power plants, even when the critics constitute a very small portion of the local community.  The Commission could, in the course of its siting process, increase the burden on opponents to make the case that problems exist and incorporate into its deliberations consideration of the positive environmental and reliability benefits of proposed projects.</w:t>
      </w:r>
    </w:p>
    <w:p>
      <w:pPr>
        <w:pStyle w:val="BodyTextIndent"/>
        <w:ind w:hanging="360" w:end="0"/>
        <w:rPr/>
      </w:pPr>
      <w:r>
        <w:rPr/>
      </w:r>
    </w:p>
    <w:p>
      <w:pPr>
        <w:pStyle w:val="Normal"/>
        <w:numPr>
          <w:ilvl w:val="1"/>
          <w:numId w:val="3"/>
        </w:numPr>
        <w:tabs>
          <w:tab w:val="clear" w:pos="720"/>
        </w:tabs>
        <w:ind w:hanging="360" w:start="720" w:end="0"/>
        <w:rPr>
          <w:rFonts w:ascii="Arial" w:hAnsi="Arial" w:cs="Arial"/>
        </w:rPr>
      </w:pPr>
      <w:r>
        <w:rPr>
          <w:rFonts w:cs="Arial" w:ascii="Arial" w:hAnsi="Arial"/>
          <w:b/>
        </w:rPr>
        <w:t xml:space="preserve">Give Deference to Other State and Regional Agencies </w:t>
      </w:r>
      <w:r>
        <w:rPr>
          <w:rFonts w:cs="Arial" w:ascii="Arial" w:hAnsi="Arial"/>
        </w:rPr>
        <w:t xml:space="preserve"> </w:t>
      </w:r>
    </w:p>
    <w:p>
      <w:pPr>
        <w:pStyle w:val="BodyTextIndent2"/>
        <w:ind w:hanging="0" w:start="720" w:end="0"/>
        <w:rPr/>
      </w:pPr>
      <w:r>
        <w:rPr/>
        <w:t>The CEC process includes the relitigation of issues that are considered and addressed in the deliberations of other state agencies, including local air districts and regional water quality control boards.  The process would be considerably more efficient if the agency gave deference to those deliberations.</w:t>
      </w:r>
    </w:p>
    <w:p>
      <w:pPr>
        <w:pStyle w:val="BodyTextIndent2"/>
        <w:ind w:hanging="360" w:start="720" w:end="0"/>
        <w:rPr/>
      </w:pPr>
      <w:r>
        <w:rPr/>
      </w:r>
    </w:p>
    <w:p>
      <w:pPr>
        <w:pStyle w:val="Normal"/>
        <w:numPr>
          <w:ilvl w:val="1"/>
          <w:numId w:val="3"/>
        </w:numPr>
        <w:tabs>
          <w:tab w:val="clear" w:pos="720"/>
        </w:tabs>
        <w:ind w:hanging="360" w:start="720" w:end="0"/>
        <w:rPr>
          <w:rFonts w:ascii="Arial" w:hAnsi="Arial" w:cs="Arial"/>
        </w:rPr>
      </w:pPr>
      <w:r>
        <w:rPr>
          <w:rFonts w:cs="Arial" w:ascii="Arial" w:hAnsi="Arial"/>
          <w:b/>
        </w:rPr>
        <w:t xml:space="preserve">Streamline the Process, Consistent With CEQA </w:t>
      </w:r>
    </w:p>
    <w:p>
      <w:pPr>
        <w:pStyle w:val="BodyTextIndent2"/>
        <w:ind w:hanging="0" w:start="720" w:end="0"/>
        <w:rPr/>
      </w:pPr>
      <w:r>
        <w:rPr/>
        <w:t xml:space="preserve">The CEC process includes the promulgation of numerous documents describing the environmental impacts of a project.  These include the Preliminary Staff Assessment, the Final Staff Assessment, the Presiding Member’s Proposed Decision, the Committee Decision, the Commission Decision and others.  When possible, the PSA and FSA should be consolidated, as should other committee and Commission documents. </w:t>
      </w:r>
    </w:p>
    <w:p>
      <w:pPr>
        <w:pStyle w:val="BodyTextIndent2"/>
        <w:ind w:hanging="360" w:start="720" w:end="0"/>
        <w:rPr/>
      </w:pPr>
      <w:r>
        <w:rPr/>
      </w:r>
    </w:p>
    <w:p>
      <w:pPr>
        <w:pStyle w:val="Normal"/>
        <w:numPr>
          <w:ilvl w:val="1"/>
          <w:numId w:val="3"/>
        </w:numPr>
        <w:tabs>
          <w:tab w:val="clear" w:pos="720"/>
        </w:tabs>
        <w:ind w:hanging="360" w:start="720" w:end="0"/>
        <w:rPr>
          <w:rFonts w:ascii="Arial" w:hAnsi="Arial" w:cs="Arial"/>
        </w:rPr>
      </w:pPr>
      <w:r>
        <w:rPr>
          <w:rFonts w:cs="Arial" w:ascii="Arial" w:hAnsi="Arial"/>
          <w:b/>
        </w:rPr>
        <w:t xml:space="preserve">Show Greater Flexibility on Data Requirements </w:t>
      </w:r>
      <w:r>
        <w:rPr>
          <w:rFonts w:cs="Arial" w:ascii="Arial" w:hAnsi="Arial"/>
        </w:rPr>
        <w:t xml:space="preserve"> </w:t>
      </w:r>
    </w:p>
    <w:p>
      <w:pPr>
        <w:pStyle w:val="Normal"/>
        <w:ind w:start="720" w:end="0"/>
        <w:rPr>
          <w:rFonts w:ascii="Arial" w:hAnsi="Arial" w:cs="Arial"/>
        </w:rPr>
      </w:pPr>
      <w:r>
        <w:rPr>
          <w:rFonts w:cs="Arial" w:ascii="Arial" w:hAnsi="Arial"/>
        </w:rPr>
        <w:t>The clock does not start on the twelve-month power plant siting process until the CEC finds that an application is data adequate.  The data requirements are extraordinary, in some cases involving six to twelve months or more of pre-filing data collection.  The CEC should show greater flexibility when dealing with specific factual situations.  For example, an applicant may request to have an application accepted as data adequate based on several months of data documenting consistency with monitoring by the previous utility power plant owner, with a provison that divergent results from the new monitoring could trigger a delay in the process.  The CEC should be willing to make a finding of data adequacy until the applicant’s own monitoring is finished.</w:t>
      </w:r>
    </w:p>
    <w:p>
      <w:pPr>
        <w:pStyle w:val="Normal"/>
        <w:ind w:hanging="360" w:start="720" w:end="0"/>
        <w:rPr>
          <w:rFonts w:ascii="Arial" w:hAnsi="Arial" w:cs="Arial"/>
        </w:rPr>
      </w:pPr>
      <w:r>
        <w:rPr>
          <w:rFonts w:cs="Arial" w:ascii="Arial" w:hAnsi="Arial"/>
        </w:rPr>
      </w:r>
    </w:p>
    <w:p>
      <w:pPr>
        <w:pStyle w:val="Normal"/>
        <w:numPr>
          <w:ilvl w:val="1"/>
          <w:numId w:val="3"/>
        </w:numPr>
        <w:tabs>
          <w:tab w:val="clear" w:pos="720"/>
        </w:tabs>
        <w:ind w:hanging="360" w:start="720" w:end="0"/>
        <w:rPr>
          <w:rFonts w:ascii="Arial" w:hAnsi="Arial" w:cs="Arial"/>
        </w:rPr>
      </w:pPr>
      <w:r>
        <w:rPr>
          <w:rFonts w:cs="Arial" w:ascii="Arial" w:hAnsi="Arial"/>
          <w:b/>
        </w:rPr>
        <w:t xml:space="preserve">Improve Agency Coordination  </w:t>
      </w:r>
    </w:p>
    <w:p>
      <w:pPr>
        <w:pStyle w:val="BodyTextIndent2"/>
        <w:ind w:hanging="0" w:start="720" w:end="0"/>
        <w:rPr/>
      </w:pPr>
      <w:r>
        <w:rPr/>
        <w:t>Multiple state and federal agencies, often with over-lapping jurisdiction, are involved in every power plant siting case.  Federal agencies, especially, are often late with their comments and sometimes take positions that conflict with their state agency counterparts.  The Green Team is addressing this problem with some success, but more attention on this is always helpful.</w:t>
      </w:r>
    </w:p>
    <w:p>
      <w:pPr>
        <w:pStyle w:val="BodyTextIndent2"/>
        <w:ind w:hanging="360" w:start="720" w:end="0"/>
        <w:rPr/>
      </w:pPr>
      <w:r>
        <w:rPr/>
      </w:r>
    </w:p>
    <w:p>
      <w:pPr>
        <w:pStyle w:val="Normal"/>
        <w:numPr>
          <w:ilvl w:val="1"/>
          <w:numId w:val="3"/>
        </w:numPr>
        <w:tabs>
          <w:tab w:val="clear" w:pos="720"/>
        </w:tabs>
        <w:ind w:hanging="360" w:start="720" w:end="0"/>
        <w:rPr>
          <w:rFonts w:ascii="Arial" w:hAnsi="Arial" w:cs="Arial"/>
        </w:rPr>
      </w:pPr>
      <w:r>
        <w:rPr>
          <w:rFonts w:cs="Arial" w:ascii="Arial" w:hAnsi="Arial"/>
          <w:b/>
        </w:rPr>
        <w:t xml:space="preserve">Consider Positive Environmental and Reliability Impacts of Projects </w:t>
      </w:r>
    </w:p>
    <w:p>
      <w:pPr>
        <w:pStyle w:val="BodyTextIndent2"/>
        <w:ind w:hanging="0" w:start="720" w:end="0"/>
        <w:rPr/>
      </w:pPr>
      <w:r>
        <w:rPr/>
        <w:t>The CEC has systematically resisted considering the positive environmental and reliability impacts of proposed projects in the power plant siting process.  The CEC has an official staff position against the introduction of such information in siting cases.  The result is a siting process that focuses exclusively on the adverse impacts of projects even when the “no-project alternative” is worse for the environment and worse for service reliability than the proposed project.</w:t>
      </w:r>
    </w:p>
    <w:p>
      <w:pPr>
        <w:pStyle w:val="BodyTextIndent2"/>
        <w:ind w:hanging="360" w:start="720" w:end="0"/>
        <w:rPr/>
      </w:pPr>
      <w:r>
        <w:rPr/>
      </w:r>
    </w:p>
    <w:p>
      <w:pPr>
        <w:pStyle w:val="Normal"/>
        <w:numPr>
          <w:ilvl w:val="1"/>
          <w:numId w:val="3"/>
        </w:numPr>
        <w:tabs>
          <w:tab w:val="clear" w:pos="720"/>
        </w:tabs>
        <w:ind w:hanging="360" w:start="720" w:end="0"/>
        <w:rPr>
          <w:rFonts w:ascii="Arial" w:hAnsi="Arial" w:cs="Arial"/>
        </w:rPr>
      </w:pPr>
      <w:r>
        <w:rPr>
          <w:rFonts w:cs="Arial" w:ascii="Arial" w:hAnsi="Arial"/>
          <w:b/>
        </w:rPr>
        <w:t>Ease Communications Between Applicants and Staff</w:t>
      </w:r>
    </w:p>
    <w:p>
      <w:pPr>
        <w:pStyle w:val="BodyTextIndent"/>
        <w:rPr/>
      </w:pPr>
      <w:r>
        <w:rPr/>
        <w:t xml:space="preserve">The CEC rules preclude ex parte communications between CEC commissioners and parties to a power plant siting case.  This prohibition is appropriate.  The CEC, however, also applies this rule to communications between applicants and CEC staff.  This distinguishes the CEC permit process from any other process at the state or local level and unnecessarily complicates informal communication. </w:t>
      </w:r>
    </w:p>
    <w:p>
      <w:pPr>
        <w:pStyle w:val="Normal"/>
        <w:ind w:hanging="360" w:start="720" w:end="0"/>
        <w:rPr>
          <w:rFonts w:ascii="Arial" w:hAnsi="Arial" w:cs="Arial"/>
        </w:rPr>
      </w:pPr>
      <w:r>
        <w:rPr>
          <w:rFonts w:cs="Arial" w:ascii="Arial" w:hAnsi="Arial"/>
        </w:rPr>
      </w:r>
    </w:p>
    <w:p>
      <w:pPr>
        <w:pStyle w:val="Heading1"/>
        <w:ind w:hanging="0" w:start="0"/>
        <w:jc w:val="start"/>
        <w:rPr>
          <w:sz w:val="24"/>
        </w:rPr>
      </w:pPr>
      <w:r>
        <w:rPr>
          <w:sz w:val="24"/>
        </w:rPr>
        <w:t>Legislative</w:t>
      </w:r>
    </w:p>
    <w:p>
      <w:pPr>
        <w:pStyle w:val="Normal"/>
        <w:ind w:hanging="360" w:start="720" w:end="0"/>
        <w:rPr>
          <w:rFonts w:ascii="Arial" w:hAnsi="Arial" w:cs="Arial"/>
          <w:sz w:val="24"/>
        </w:rPr>
      </w:pPr>
      <w:r>
        <w:rPr>
          <w:rFonts w:cs="Arial" w:ascii="Arial" w:hAnsi="Arial"/>
          <w:sz w:val="24"/>
        </w:rPr>
      </w:r>
    </w:p>
    <w:p>
      <w:pPr>
        <w:pStyle w:val="Normal"/>
        <w:numPr>
          <w:ilvl w:val="1"/>
          <w:numId w:val="3"/>
        </w:numPr>
        <w:tabs>
          <w:tab w:val="clear" w:pos="720"/>
        </w:tabs>
        <w:ind w:hanging="360" w:start="720" w:end="0"/>
        <w:rPr>
          <w:rFonts w:ascii="Arial" w:hAnsi="Arial" w:cs="Arial"/>
          <w:b/>
        </w:rPr>
      </w:pPr>
      <w:r>
        <w:rPr>
          <w:rFonts w:cs="Arial" w:ascii="Arial" w:hAnsi="Arial"/>
          <w:b/>
        </w:rPr>
        <w:t xml:space="preserve">Eliminate Overlapping Jurisdiction  </w:t>
      </w:r>
    </w:p>
    <w:p>
      <w:pPr>
        <w:pStyle w:val="BodyTextIndent2"/>
        <w:ind w:hanging="0" w:start="720" w:end="0"/>
        <w:rPr/>
      </w:pPr>
      <w:r>
        <w:rPr/>
        <w:t xml:space="preserve">The CEC currently relitigates issues taken into account in deliberations before local air quality management districts and regional water quality control boards even though federal law precludes the CEC from overriding their conclusions.  The power plant siting process would be greatly simplified by legislation requiring the CEC to defer to the findings of these agencies.  </w:t>
      </w:r>
    </w:p>
    <w:p>
      <w:pPr>
        <w:pStyle w:val="BodyTextIndent2"/>
        <w:ind w:hanging="360" w:start="720" w:end="0"/>
        <w:rPr/>
      </w:pPr>
      <w:r>
        <w:rPr/>
      </w:r>
    </w:p>
    <w:p>
      <w:pPr>
        <w:pStyle w:val="Normal"/>
        <w:numPr>
          <w:ilvl w:val="1"/>
          <w:numId w:val="3"/>
        </w:numPr>
        <w:tabs>
          <w:tab w:val="clear" w:pos="720"/>
        </w:tabs>
        <w:ind w:hanging="360" w:start="720" w:end="0"/>
        <w:rPr>
          <w:rFonts w:ascii="Arial" w:hAnsi="Arial" w:cs="Arial"/>
          <w:b/>
        </w:rPr>
      </w:pPr>
      <w:r>
        <w:rPr>
          <w:rFonts w:cs="Arial" w:ascii="Arial" w:hAnsi="Arial"/>
          <w:b/>
        </w:rPr>
        <w:t>Permit Local Agencies to Make Zoning Changes or Other Decisions for Power Plants Contingent on CEC CEQA Compliance</w:t>
      </w:r>
    </w:p>
    <w:p>
      <w:pPr>
        <w:pStyle w:val="Normal"/>
        <w:ind w:start="720" w:end="0"/>
        <w:rPr>
          <w:rFonts w:ascii="Arial" w:hAnsi="Arial" w:cs="Arial"/>
        </w:rPr>
      </w:pPr>
      <w:r>
        <w:rPr>
          <w:rFonts w:cs="Arial" w:ascii="Arial" w:hAnsi="Arial"/>
        </w:rPr>
        <w:t xml:space="preserve">Current law requires the CEC, when making a decision on a proposed power plant, to include a finding of compliance with local ordinances, standards and regulations.  Although current law also permits the CEC to override local agencies when such a finding cannot be made, the CEC naturally tries first to resolve all differences.  In some cases, this means waiting for a local agency to change zoning or tale some other action that requires an environmental impact report.  A certified environmental impact report does not exist, however, until the CEC makes a final decision.  This “Catch-22” could be resolved by a change to state law that permits a local agency to rely on a contingency basis upon the CEC staff’s Final Staff Assessment for purposes of CEQA compliance related to its local land use decision.  </w:t>
      </w:r>
    </w:p>
    <w:sectPr>
      <w:headerReference w:type="default" r:id="rId5"/>
      <w:footerReference w:type="default" r:id="rId6"/>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Haettenschweiler">
    <w:charset w:val="00" w:characterSet="windows-1252"/>
    <w:family w:val="swiss"/>
    <w:pitch w:val="variable"/>
  </w:font>
  <w:font w:name="Arial Narrow">
    <w:charset w:val="00" w:characterSet="windows-1252"/>
    <w:family w:val="swiss"/>
    <w:pitch w:val="variable"/>
  </w:font>
  <w:font w:name="Monotype Sort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w:hAnsi="Arial" w:cs="Arial"/>
      </w:rPr>
    </w:pPr>
    <w:r>
      <w:rPr>
        <w:rFonts w:cs="Arial" w:ascii="Arial" w:hAnsi="Arial"/>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4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rPr>
    </w:pPr>
    <w:r>
      <w:rPr>
        <w:rFonts w:cs="Arial" w:ascii="Arial" w:hAnsi="Arial"/>
      </w:rPr>
      <w:t>Attachment #1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bullet"/>
      <w:lvlText w:val=""/>
      <w:lvlJc w:val="start"/>
      <w:pPr>
        <w:tabs>
          <w:tab w:val="num" w:pos="1080"/>
        </w:tabs>
        <w:ind w:start="108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bCs/>
      <w:sz w:val="28"/>
    </w:rPr>
  </w:style>
  <w:style w:type="paragraph" w:styleId="Heading2">
    <w:name w:val="heading 2"/>
    <w:basedOn w:val="Normal"/>
    <w:next w:val="BodyText"/>
    <w:qFormat/>
    <w:pPr>
      <w:numPr>
        <w:ilvl w:val="1"/>
        <w:numId w:val="1"/>
      </w:numPr>
      <w:spacing w:before="100" w:after="100"/>
      <w:outlineLvl w:val="1"/>
    </w:pPr>
    <w:rPr>
      <w:b/>
      <w:bCs/>
      <w:sz w:val="36"/>
      <w:szCs w:val="36"/>
    </w:rPr>
  </w:style>
  <w:style w:type="paragraph" w:styleId="Heading3">
    <w:name w:val="heading 3"/>
    <w:basedOn w:val="Normal"/>
    <w:next w:val="BodyText"/>
    <w:qFormat/>
    <w:pPr>
      <w:numPr>
        <w:ilvl w:val="2"/>
        <w:numId w:val="1"/>
      </w:numPr>
      <w:spacing w:before="100" w:after="100"/>
      <w:outlineLvl w:val="2"/>
    </w:pPr>
    <w:rPr>
      <w:b/>
      <w:bCs/>
      <w:sz w:val="27"/>
      <w:szCs w:val="27"/>
    </w:rPr>
  </w:style>
  <w:style w:type="paragraph" w:styleId="Heading4">
    <w:name w:val="heading 4"/>
    <w:basedOn w:val="Normal"/>
    <w:next w:val="Normal"/>
    <w:qFormat/>
    <w:pPr>
      <w:keepNext w:val="true"/>
      <w:numPr>
        <w:ilvl w:val="3"/>
        <w:numId w:val="1"/>
      </w:numPr>
      <w:outlineLvl w:val="3"/>
    </w:pPr>
    <w:rPr>
      <w:rFonts w:ascii="Arial" w:hAnsi="Arial" w:cs="Arial"/>
      <w:b/>
      <w:bCs/>
      <w:i/>
      <w:iCs/>
      <w:sz w:val="28"/>
    </w:rPr>
  </w:style>
  <w:style w:type="paragraph" w:styleId="Heading5">
    <w:name w:val="heading 5"/>
    <w:basedOn w:val="Normal"/>
    <w:next w:val="Normal"/>
    <w:qFormat/>
    <w:pPr>
      <w:keepNext w:val="true"/>
      <w:numPr>
        <w:ilvl w:val="4"/>
        <w:numId w:val="1"/>
      </w:numPr>
      <w:outlineLvl w:val="4"/>
    </w:pPr>
    <w:rPr>
      <w:rFonts w:ascii="Arial" w:hAnsi="Arial" w:cs="Arial"/>
      <w:b/>
      <w:bCs/>
      <w:i/>
      <w:iCs/>
    </w:rPr>
  </w:style>
  <w:style w:type="paragraph" w:styleId="Heading6">
    <w:name w:val="heading 6"/>
    <w:basedOn w:val="Normal"/>
    <w:next w:val="Normal"/>
    <w:qFormat/>
    <w:pPr>
      <w:keepNext w:val="true"/>
      <w:numPr>
        <w:ilvl w:val="5"/>
        <w:numId w:val="1"/>
      </w:numPr>
      <w:outlineLvl w:val="5"/>
    </w:pPr>
    <w:rPr>
      <w:rFonts w:ascii="Arial" w:hAnsi="Arial" w:cs="Arial"/>
      <w:b/>
      <w:bCs/>
      <w:i/>
      <w:iCs/>
      <w:u w:val="single"/>
    </w:rPr>
  </w:style>
  <w:style w:type="paragraph" w:styleId="Heading7">
    <w:name w:val="heading 7"/>
    <w:basedOn w:val="Normal"/>
    <w:next w:val="Normal"/>
    <w:qFormat/>
    <w:pPr>
      <w:keepNext w:val="true"/>
      <w:numPr>
        <w:ilvl w:val="6"/>
        <w:numId w:val="1"/>
      </w:numPr>
      <w:ind w:hanging="0" w:start="720" w:end="0"/>
      <w:outlineLvl w:val="6"/>
    </w:pPr>
    <w:rPr>
      <w:rFonts w:ascii="Arial" w:hAnsi="Arial" w:cs="Arial"/>
      <w:i/>
      <w:iCs/>
    </w:rPr>
  </w:style>
  <w:style w:type="paragraph" w:styleId="Heading8">
    <w:name w:val="heading 8"/>
    <w:basedOn w:val="Normal"/>
    <w:next w:val="Normal"/>
    <w:qFormat/>
    <w:pPr>
      <w:keepNext w:val="true"/>
      <w:numPr>
        <w:ilvl w:val="7"/>
        <w:numId w:val="1"/>
      </w:numPr>
      <w:outlineLvl w:val="7"/>
    </w:pPr>
    <w:rPr>
      <w:rFonts w:ascii="Arial" w:hAnsi="Arial" w:cs="Arial"/>
      <w:b/>
      <w:bCs/>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b/>
      <w:i w:val="false"/>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1z2">
    <w:name w:val="WW8Num11z2"/>
    <w:qFormat/>
    <w:rPr>
      <w:rFonts w:ascii="Wingdings" w:hAnsi="Wingdings" w:cs="Wingdings"/>
    </w:rPr>
  </w:style>
  <w:style w:type="character" w:styleId="WW8Num11z4">
    <w:name w:val="WW8Num11z4"/>
    <w:qFormat/>
    <w:rPr>
      <w:rFonts w:ascii="Courier New" w:hAnsi="Courier New" w:cs="Courier New"/>
    </w:rPr>
  </w:style>
  <w:style w:type="character" w:styleId="WW8Num12z0">
    <w:name w:val="WW8Num12z0"/>
    <w:qFormat/>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style>
  <w:style w:type="character" w:styleId="WW8Num14z1">
    <w:name w:val="WW8Num14z1"/>
    <w:qFormat/>
    <w:rPr>
      <w:rFonts w:ascii="Arial" w:hAnsi="Arial" w:cs="Arial"/>
    </w:rPr>
  </w:style>
  <w:style w:type="character" w:styleId="WW8Num15z0">
    <w:name w:val="WW8Num15z0"/>
    <w:qFormat/>
    <w:rPr>
      <w:b/>
      <w:i w:val="false"/>
    </w:rPr>
  </w:style>
  <w:style w:type="character" w:styleId="WW8Num16z0">
    <w:name w:val="WW8Num1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Indent">
    <w:name w:val="Body Text Indent"/>
    <w:basedOn w:val="Normal"/>
    <w:pPr>
      <w:ind w:hanging="0" w:start="720" w:end="0"/>
    </w:pPr>
    <w:rPr>
      <w:rFonts w:ascii="Arial" w:hAnsi="Arial" w:cs="Arial"/>
    </w:rPr>
  </w:style>
  <w:style w:type="paragraph" w:styleId="BodyTextIndent2">
    <w:name w:val="Body Text Indent 2"/>
    <w:basedOn w:val="Normal"/>
    <w:qFormat/>
    <w:pPr>
      <w:ind w:firstLine="720" w:start="0" w:end="0"/>
    </w:pPr>
    <w:rPr>
      <w:rFonts w:ascii="Arial" w:hAnsi="Arial" w:cs="Arial"/>
    </w:rPr>
  </w:style>
  <w:style w:type="paragraph" w:styleId="BodyTextIndent3">
    <w:name w:val="Body Text Indent 3"/>
    <w:basedOn w:val="Normal"/>
    <w:qFormat/>
    <w:pPr>
      <w:ind w:firstLine="720" w:start="0" w:end="0"/>
    </w:pPr>
    <w:rPr>
      <w:rFonts w:ascii="Arial" w:hAnsi="Arial" w:cs="Arial"/>
      <w:i/>
      <w:iCs/>
      <w:u w:val="single"/>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header" Target="head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Letterhead Memo</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2001-01-05T21:18:00Z</dcterms:created>
  <dc:creator>Karen</dc:creator>
  <dc:description/>
  <dc:language>en-CA</dc:language>
  <cp:lastModifiedBy>J Malinowski-Ball</cp:lastModifiedBy>
  <dcterms:modified xsi:type="dcterms:W3CDTF">2001-01-05T21:52:00Z</dcterms:modified>
  <cp:revision>3</cp:revision>
  <dc:subject/>
  <dc:title> </dc:title>
</cp:coreProperties>
</file>