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Jeff Hodge, Jon McKay, Rob Milnthorp and Peggy Hedstrom</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Peter Keohane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Enron Canada Corp. - Corporate Changes and Signing Authorities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spacing w:before="120" w:after="120"/>
        <w:ind w:start="90" w:end="0"/>
        <w:jc w:val="both"/>
        <w:rPr>
          <w:sz w:val="22"/>
        </w:rPr>
      </w:pPr>
      <w:bookmarkStart w:id="1" w:name="StartOfMemo"/>
      <w:bookmarkEnd w:id="1"/>
      <w:r>
        <w:rPr>
          <w:sz w:val="22"/>
        </w:rPr>
        <w:t>Mark, as a result of various changes corporately at Enron Canada, and after reviewing the matter with Rob Milnthorp, who is now President and Chief Executive Officer of Enron Canada, this memo outlines certain proposed changes with respect to Enron Canada’s corporate officers, directors and signing authorities:</w:t>
      </w:r>
    </w:p>
    <w:p>
      <w:pPr>
        <w:pStyle w:val="Body"/>
        <w:numPr>
          <w:ilvl w:val="0"/>
          <w:numId w:val="5"/>
        </w:numPr>
        <w:spacing w:before="120" w:after="120"/>
        <w:jc w:val="both"/>
        <w:rPr>
          <w:sz w:val="22"/>
        </w:rPr>
      </w:pPr>
      <w:r>
        <w:rPr>
          <w:sz w:val="22"/>
        </w:rPr>
        <w:t>Rob Milnthorp will replace John Lavorato as Director and President and Chief Executive Officer effective April 10, 2000.  John Gorman resigned as Director and Chairman, effective March 31, 2000.</w:t>
      </w:r>
    </w:p>
    <w:p>
      <w:pPr>
        <w:pStyle w:val="Body"/>
        <w:numPr>
          <w:ilvl w:val="0"/>
          <w:numId w:val="5"/>
        </w:numPr>
        <w:spacing w:before="120" w:after="120"/>
        <w:jc w:val="both"/>
        <w:rPr>
          <w:sz w:val="22"/>
        </w:rPr>
      </w:pPr>
      <w:r>
        <w:rPr>
          <w:sz w:val="22"/>
        </w:rPr>
        <w:t>Signing authorities will be any one of the President and Chief Executive Officer, a Managing Director or a Vice President, with the following exceptions:</w:t>
      </w:r>
    </w:p>
    <w:p>
      <w:pPr>
        <w:pStyle w:val="Body"/>
        <w:numPr>
          <w:ilvl w:val="0"/>
          <w:numId w:val="2"/>
        </w:numPr>
        <w:spacing w:before="120" w:after="120"/>
        <w:jc w:val="both"/>
        <w:rPr>
          <w:sz w:val="22"/>
        </w:rPr>
      </w:pPr>
      <w:r>
        <w:rPr>
          <w:sz w:val="22"/>
        </w:rPr>
        <w:t>only the President and Chief Executive Officer shall execute all physical or financial Master Agreements;</w:t>
      </w:r>
    </w:p>
    <w:p>
      <w:pPr>
        <w:pStyle w:val="Body"/>
        <w:numPr>
          <w:ilvl w:val="0"/>
          <w:numId w:val="2"/>
        </w:numPr>
        <w:spacing w:before="120" w:after="120"/>
        <w:jc w:val="both"/>
        <w:rPr>
          <w:sz w:val="22"/>
        </w:rPr>
      </w:pPr>
      <w:r>
        <w:rPr>
          <w:sz w:val="22"/>
        </w:rPr>
        <w:t>Peggy Hedstrom, Vice President (Energy Operations) may only execute:</w:t>
      </w:r>
    </w:p>
    <w:p>
      <w:pPr>
        <w:pStyle w:val="Body"/>
        <w:numPr>
          <w:ilvl w:val="0"/>
          <w:numId w:val="4"/>
        </w:numPr>
        <w:spacing w:before="120" w:after="120"/>
        <w:ind w:hanging="720" w:start="2160" w:end="0"/>
        <w:jc w:val="both"/>
        <w:rPr>
          <w:sz w:val="22"/>
        </w:rPr>
      </w:pPr>
      <w:r>
        <w:rPr>
          <w:sz w:val="22"/>
        </w:rPr>
        <w:t>gas purchase and sale agreements, and schedules thereto, so long as such agreements, are:</w:t>
      </w:r>
    </w:p>
    <w:p>
      <w:pPr>
        <w:pStyle w:val="Body"/>
        <w:numPr>
          <w:ilvl w:val="0"/>
          <w:numId w:val="3"/>
        </w:numPr>
        <w:spacing w:before="120" w:after="120"/>
        <w:ind w:hanging="360" w:start="2520" w:end="0"/>
        <w:jc w:val="both"/>
        <w:rPr>
          <w:sz w:val="22"/>
        </w:rPr>
      </w:pPr>
      <w:r>
        <w:rPr>
          <w:sz w:val="22"/>
        </w:rPr>
        <w:t>expressly limited to transactions of 31 days or fewer; and</w:t>
      </w:r>
    </w:p>
    <w:p>
      <w:pPr>
        <w:pStyle w:val="Body"/>
        <w:numPr>
          <w:ilvl w:val="0"/>
          <w:numId w:val="3"/>
        </w:numPr>
        <w:spacing w:before="120" w:after="120"/>
        <w:ind w:hanging="360" w:start="2520" w:end="0"/>
        <w:jc w:val="both"/>
        <w:rPr>
          <w:sz w:val="22"/>
        </w:rPr>
      </w:pPr>
      <w:r>
        <w:rPr>
          <w:sz w:val="22"/>
        </w:rPr>
        <w:t>standard form agreements, with no modifications, approved by legal counsel for Enron Canada; and</w:t>
      </w:r>
    </w:p>
    <w:p>
      <w:pPr>
        <w:pStyle w:val="Body"/>
        <w:numPr>
          <w:ilvl w:val="0"/>
          <w:numId w:val="4"/>
        </w:numPr>
        <w:spacing w:before="120" w:after="120"/>
        <w:ind w:hanging="720" w:start="2160" w:end="0"/>
        <w:jc w:val="both"/>
        <w:rPr>
          <w:sz w:val="22"/>
        </w:rPr>
      </w:pPr>
      <w:r>
        <w:rPr>
          <w:sz w:val="22"/>
        </w:rPr>
        <w:t>transportation agreements and transportation assignment agreements which are on the applicable pipelines standard form, with no modifications, so long as the term is no longer than 31 days, and provided that legal counsel’s initials will not be required for such transportation agreements and transportation assignment agreements; and</w:t>
      </w:r>
    </w:p>
    <w:p>
      <w:pPr>
        <w:pStyle w:val="Body"/>
        <w:numPr>
          <w:ilvl w:val="0"/>
          <w:numId w:val="2"/>
        </w:numPr>
        <w:spacing w:before="120" w:after="120"/>
        <w:jc w:val="both"/>
        <w:rPr>
          <w:sz w:val="22"/>
        </w:rPr>
      </w:pPr>
      <w:r>
        <w:rPr>
          <w:sz w:val="22"/>
        </w:rPr>
        <w:t>Jon McKay, Director, who is now responsible for Enron Canada trading, shall execute all physical and financial trading Confirmation Letters for all transactions having a term of one year or less, and may, with the approval of the President and Chief Executive Officer, execute physical and financial trading Confirmation Letters for transactions of a term greater than one year.</w:t>
      </w:r>
    </w:p>
    <w:p>
      <w:pPr>
        <w:pStyle w:val="Body"/>
        <w:spacing w:before="120" w:after="120"/>
        <w:ind w:start="0" w:end="0"/>
        <w:jc w:val="both"/>
        <w:rPr>
          <w:sz w:val="22"/>
        </w:rPr>
      </w:pPr>
      <w:r>
        <w:rPr>
          <w:sz w:val="22"/>
        </w:rPr>
        <w:t>The other Director of Enron Canada is Gordon Brown, a semi-retired partner at the Bennett Jones law firm.  Historically, I understand that an outside Director has been required (I am not sure why, as there is no such legal requirement, although there is a citizenry or residency requirement both for tax and corporate law purposes).  Further, as indicated, Gordon is essentially retired.  Additionally, the Bennett Jones firm has seen a significant reduction in their representation of Enron Canada on transactions, with Blake, Cassels &amp; Graydon seeing the most significant portion of Enron Canada’s transactions, both as a legal and commercial preference.  Accordingly, if there is a  need for an outside Director, who is also an outside lawyer involved in many of Enron Canada’s transactions, and a senior and well regarded member of the business community in Calgary, both Rob and I suggest replacing Gordon Brown with Dan Fournier of the Blake, Cassels &amp; Graydon firm.  Dan is the most senior partner at the Blake, Cassels &amp; Graydon firm in Calgary, and is on his firm’s national executive committee and is therefore among the most senior partners at Blake, Cassels &amp; Graydon nationally.  Dan is also well known and active in the community, has an active and busy practice, and has represented and continues to represent Enron Canada on a large amount of Enron Canada’s transactions and is therefore familiar with our business policies and practices.</w:t>
      </w:r>
    </w:p>
    <w:p>
      <w:pPr>
        <w:pStyle w:val="Body"/>
        <w:spacing w:before="120" w:after="120"/>
        <w:ind w:start="90" w:end="0"/>
        <w:jc w:val="both"/>
        <w:rPr>
          <w:sz w:val="22"/>
        </w:rPr>
      </w:pPr>
      <w:r>
        <w:rPr>
          <w:sz w:val="22"/>
        </w:rPr>
        <w:t>If the foregoing is satisfactory, would you kindly confirm, or otherwise let me know whether you have any concerns.</w:t>
      </w:r>
    </w:p>
    <w:p>
      <w:pPr>
        <w:pStyle w:val="Body"/>
        <w:spacing w:before="120" w:after="120"/>
        <w:ind w:start="90" w:end="0"/>
        <w:jc w:val="both"/>
        <w:rPr>
          <w:sz w:val="22"/>
        </w:rPr>
      </w:pPr>
      <w:r>
        <w:rPr>
          <w:sz w:val="22"/>
        </w:rPr>
        <w:t>Regards, Peter</w:t>
      </w:r>
    </w:p>
    <w:p>
      <w:pPr>
        <w:pStyle w:val="Body"/>
        <w:ind w:start="90" w:end="0"/>
        <w:jc w:val="both"/>
        <w:rPr>
          <w:b/>
          <w:sz w:val="22"/>
        </w:rPr>
      </w:pPr>
      <w:r>
        <w:rPr>
          <w:b/>
          <w:sz w:val="22"/>
        </w:rPr>
      </w:r>
    </w:p>
    <w:p>
      <w:pPr>
        <w:pStyle w:val="Body"/>
        <w:ind w:start="90" w:end="0"/>
        <w:jc w:val="both"/>
        <w:rPr>
          <w:b/>
        </w:rPr>
      </w:pPr>
      <w:r>
        <w:rPr>
          <w:b/>
        </w:rPr>
      </w:r>
    </w:p>
    <w:p>
      <w:pPr>
        <w:pStyle w:val="Body"/>
        <w:ind w:start="90" w:end="0"/>
        <w:jc w:val="both"/>
        <w:rPr>
          <w:sz w:val="22"/>
        </w:rPr>
      </w:pPr>
      <w:r>
        <w:rPr>
          <w:sz w:val="22"/>
        </w:rPr>
        <w:t>PCMK/nc</w:t>
      </w:r>
    </w:p>
    <w:p>
      <w:pPr>
        <w:pStyle w:val="Body"/>
        <w:ind w:start="90" w:end="0"/>
        <w:jc w:val="both"/>
        <w:rPr>
          <w:sz w:val="22"/>
        </w:rPr>
      </w:pPr>
      <w:r>
        <w:rPr>
          <w:sz w:val="22"/>
        </w:rPr>
      </w:r>
    </w:p>
    <w:p>
      <w:pPr>
        <w:pStyle w:val="Body"/>
        <w:ind w:start="90" w:end="0"/>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/mnt/main-storage/datasets/enron-docs/doc/memo.haedicke.ECC_Corporate_Changes-4a5fafea2dd051f2af43ddddaa4afdc6fce48cfbbdf9fd34e143c212f9f9ec55.doc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/mnt/main-storage/datasets/enron-docs/doc/memo.haedicke.ECC_Corporate_Changes-4a5fafea2dd051f2af43ddddaa4afdc6fce48cfbbdf9fd34e143c212f9f9ec55.doc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upperLetter"/>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1800" w:hanging="360"/>
      </w:pPr>
      <w:rPr/>
    </w:lvl>
  </w:abstractNum>
  <w:abstractNum w:abstractNumId="5">
    <w:lvl w:ilvl="0">
      <w:start w:val="1"/>
      <w:numFmt w:val="decimal"/>
      <w:lvlText w:val="%1."/>
      <w:lvlJc w:val="start"/>
      <w:pPr>
        <w:tabs>
          <w:tab w:val="num" w:pos="720"/>
        </w:tabs>
        <w:ind w:start="720" w:hanging="63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2000-04-11T19:15:00Z</dcterms:created>
  <dc:creator>ncappel</dc:creator>
  <dc:description/>
  <dc:language>en-CA</dc:language>
  <cp:lastModifiedBy>ncappel</cp:lastModifiedBy>
  <cp:lastPrinted>2000-04-12T10:59:00Z</cp:lastPrinted>
  <dcterms:modified xsi:type="dcterms:W3CDTF">2000-04-12T14:29:00Z</dcterms:modified>
  <cp:revision>9</cp:revision>
  <dc:subject/>
  <dc:title>Eron Capital &amp; Trade Resources Memo</dc:title>
</cp:coreProperties>
</file>