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tab/>
      </w:r>
    </w:p>
    <w:p>
      <w:pPr>
        <w:pStyle w:val="Body"/>
        <w:rPr/>
      </w:pPr>
      <w:r>
        <w:rPr/>
      </w:r>
    </w:p>
    <w:tbl>
      <w:tblPr>
        <w:tblW w:w="10800" w:type="dxa"/>
        <w:jc w:val="start"/>
        <w:tblInd w:w="-600" w:type="dxa"/>
        <w:tblLayout w:type="fixed"/>
        <w:tblCellMar>
          <w:top w:w="0" w:type="dxa"/>
          <w:start w:w="120" w:type="dxa"/>
          <w:bottom w:w="0" w:type="dxa"/>
          <w:end w:w="120" w:type="dxa"/>
        </w:tblCellMar>
      </w:tblPr>
      <w:tblGrid>
        <w:gridCol w:w="1530"/>
        <w:gridCol w:w="4950"/>
        <w:gridCol w:w="2022"/>
        <w:gridCol w:w="2298"/>
      </w:tblGrid>
      <w:tr>
        <w:trPr/>
        <w:tc>
          <w:tcPr>
            <w:tcW w:w="1530"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sz w:val="22"/>
              </w:rPr>
            </w:pPr>
            <w:r>
              <w:rPr>
                <w:rFonts w:cs="Times New Roman" w:ascii="Times New Roman" w:hAnsi="Times New Roman"/>
                <w:b/>
                <w:spacing w:val="-2"/>
                <w:sz w:val="22"/>
              </w:rPr>
              <w:t>To:</w:t>
            </w:r>
          </w:p>
        </w:tc>
        <w:tc>
          <w:tcPr>
            <w:tcW w:w="4950" w:type="dxa"/>
            <w:tcBorders/>
          </w:tcPr>
          <w:p>
            <w:pPr>
              <w:pStyle w:val="Normal"/>
              <w:tabs>
                <w:tab w:val="clear" w:pos="540"/>
                <w:tab w:val="left" w:pos="-720" w:leader="none"/>
              </w:tabs>
              <w:suppressAutoHyphens w:val="true"/>
              <w:spacing w:before="90" w:after="54"/>
              <w:ind w:start="93" w:end="0"/>
              <w:rPr>
                <w:rFonts w:cs="Arial"/>
                <w:spacing w:val="-2"/>
                <w:sz w:val="22"/>
              </w:rPr>
            </w:pPr>
            <w:r>
              <w:rPr>
                <w:rFonts w:cs="Arial"/>
                <w:spacing w:val="-2"/>
                <w:sz w:val="22"/>
              </w:rPr>
              <w:t>General Counsel Council</w:t>
            </w:r>
          </w:p>
        </w:tc>
        <w:tc>
          <w:tcPr>
            <w:tcW w:w="2022" w:type="dxa"/>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sz w:val="22"/>
              </w:rPr>
            </w:pPr>
            <w:r>
              <w:rPr>
                <w:rFonts w:cs="Times New Roman" w:ascii="Times New Roman" w:hAnsi="Times New Roman"/>
                <w:spacing w:val="-2"/>
                <w:sz w:val="22"/>
              </w:rPr>
            </w:r>
          </w:p>
        </w:tc>
        <w:tc>
          <w:tcPr>
            <w:tcW w:w="2298" w:type="dxa"/>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sz w:val="22"/>
              </w:rPr>
            </w:pPr>
            <w:r>
              <w:rPr>
                <w:rFonts w:cs="Times New Roman" w:ascii="Times New Roman" w:hAnsi="Times New Roman"/>
                <w:spacing w:val="-2"/>
                <w:sz w:val="22"/>
              </w:rPr>
            </w:r>
          </w:p>
        </w:tc>
      </w:tr>
      <w:tr>
        <w:trPr/>
        <w:tc>
          <w:tcPr>
            <w:tcW w:w="1530"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sz w:val="22"/>
              </w:rPr>
            </w:pPr>
            <w:r>
              <w:rPr>
                <w:rFonts w:cs="Times New Roman" w:ascii="Times New Roman" w:hAnsi="Times New Roman"/>
                <w:b/>
                <w:spacing w:val="-2"/>
                <w:sz w:val="22"/>
              </w:rPr>
              <w:t>From:</w:t>
            </w:r>
          </w:p>
        </w:tc>
        <w:tc>
          <w:tcPr>
            <w:tcW w:w="4950" w:type="dxa"/>
            <w:tcBorders/>
          </w:tcPr>
          <w:p>
            <w:pPr>
              <w:pStyle w:val="Normal"/>
              <w:tabs>
                <w:tab w:val="clear" w:pos="540"/>
                <w:tab w:val="left" w:pos="-720" w:leader="none"/>
              </w:tabs>
              <w:suppressAutoHyphens w:val="true"/>
              <w:spacing w:before="90" w:after="54"/>
              <w:ind w:start="93" w:end="0"/>
              <w:rPr>
                <w:rFonts w:cs="Arial"/>
                <w:spacing w:val="-2"/>
                <w:sz w:val="22"/>
              </w:rPr>
            </w:pPr>
            <w:r>
              <w:rPr>
                <w:rFonts w:cs="Arial"/>
                <w:spacing w:val="-2"/>
                <w:sz w:val="22"/>
              </w:rPr>
              <w:t>Jim Derrick and Mark Palmer</w:t>
            </w:r>
          </w:p>
        </w:tc>
        <w:tc>
          <w:tcPr>
            <w:tcW w:w="2022"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sz w:val="22"/>
              </w:rPr>
            </w:pPr>
            <w:r>
              <w:rPr>
                <w:rFonts w:cs="Times New Roman" w:ascii="Times New Roman" w:hAnsi="Times New Roman"/>
                <w:b/>
                <w:spacing w:val="-2"/>
                <w:sz w:val="22"/>
              </w:rPr>
              <w:t>Department:</w:t>
            </w:r>
          </w:p>
        </w:tc>
        <w:tc>
          <w:tcPr>
            <w:tcW w:w="2298" w:type="dxa"/>
            <w:tcBorders/>
          </w:tcPr>
          <w:p>
            <w:pPr>
              <w:pStyle w:val="Normal"/>
              <w:tabs>
                <w:tab w:val="left" w:pos="-720" w:leader="none"/>
                <w:tab w:val="left" w:pos="540" w:leader="none"/>
              </w:tabs>
              <w:suppressAutoHyphens w:val="true"/>
              <w:spacing w:before="90" w:after="54"/>
              <w:ind w:start="92" w:end="0"/>
              <w:rPr>
                <w:rFonts w:cs="Arial"/>
                <w:spacing w:val="-2"/>
                <w:sz w:val="22"/>
              </w:rPr>
            </w:pPr>
            <w:r>
              <w:rPr>
                <w:rFonts w:cs="Arial"/>
                <w:spacing w:val="-2"/>
                <w:sz w:val="22"/>
              </w:rPr>
              <w:t>Executive</w:t>
            </w:r>
          </w:p>
        </w:tc>
      </w:tr>
      <w:tr>
        <w:trPr/>
        <w:tc>
          <w:tcPr>
            <w:tcW w:w="1530"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sz w:val="22"/>
              </w:rPr>
            </w:pPr>
            <w:r>
              <w:rPr>
                <w:rFonts w:cs="Times New Roman" w:ascii="Times New Roman" w:hAnsi="Times New Roman"/>
                <w:b/>
                <w:spacing w:val="-2"/>
                <w:sz w:val="22"/>
              </w:rPr>
              <w:t>Subject:</w:t>
            </w:r>
          </w:p>
        </w:tc>
        <w:tc>
          <w:tcPr>
            <w:tcW w:w="4950" w:type="dxa"/>
            <w:tcBorders/>
          </w:tcPr>
          <w:p>
            <w:pPr>
              <w:pStyle w:val="Normal"/>
              <w:tabs>
                <w:tab w:val="clear" w:pos="540"/>
                <w:tab w:val="left" w:pos="-720" w:leader="none"/>
              </w:tabs>
              <w:suppressAutoHyphens w:val="true"/>
              <w:spacing w:before="90" w:after="54"/>
              <w:ind w:start="93" w:end="0"/>
              <w:rPr>
                <w:rFonts w:cs="Arial"/>
                <w:spacing w:val="-2"/>
                <w:sz w:val="22"/>
              </w:rPr>
            </w:pPr>
            <w:r>
              <w:rPr>
                <w:rFonts w:cs="Arial"/>
                <w:spacing w:val="-2"/>
                <w:sz w:val="22"/>
              </w:rPr>
              <w:t>Updating of Enron Corp. Trademarks with PTO</w:t>
            </w:r>
          </w:p>
        </w:tc>
        <w:tc>
          <w:tcPr>
            <w:tcW w:w="2022"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sz w:val="22"/>
              </w:rPr>
            </w:pPr>
            <w:r>
              <w:rPr>
                <w:rFonts w:cs="Times New Roman" w:ascii="Times New Roman" w:hAnsi="Times New Roman"/>
                <w:b/>
                <w:spacing w:val="-2"/>
                <w:sz w:val="22"/>
              </w:rPr>
              <w:t>Date:</w:t>
            </w:r>
          </w:p>
        </w:tc>
        <w:tc>
          <w:tcPr>
            <w:tcW w:w="2298" w:type="dxa"/>
            <w:tcBorders/>
          </w:tcPr>
          <w:p>
            <w:pPr>
              <w:pStyle w:val="Normal"/>
              <w:tabs>
                <w:tab w:val="left" w:pos="-720" w:leader="none"/>
                <w:tab w:val="left" w:pos="540" w:leader="none"/>
              </w:tabs>
              <w:suppressAutoHyphens w:val="true"/>
              <w:spacing w:before="90" w:after="54"/>
              <w:ind w:start="92" w:end="0"/>
              <w:rPr>
                <w:rFonts w:cs="Arial"/>
                <w:spacing w:val="-2"/>
                <w:sz w:val="22"/>
              </w:rPr>
            </w:pPr>
            <w:r>
              <w:rPr>
                <w:rFonts w:cs="Arial"/>
                <w:spacing w:val="-2"/>
                <w:sz w:val="22"/>
              </w:rPr>
              <w:fldChar w:fldCharType="begin"/>
            </w:r>
            <w:r>
              <w:rPr>
                <w:sz w:val="22"/>
                <w:spacing w:val="-2"/>
                <w:rFonts w:cs="Arial"/>
              </w:rPr>
              <w:instrText xml:space="preserve"> DATE \@"MMMM\ d', 'yyyy" </w:instrText>
            </w:r>
            <w:r>
              <w:rPr>
                <w:sz w:val="22"/>
                <w:spacing w:val="-2"/>
                <w:rFonts w:cs="Arial"/>
              </w:rPr>
              <w:fldChar w:fldCharType="separate"/>
            </w:r>
            <w:r>
              <w:rPr>
                <w:sz w:val="22"/>
                <w:spacing w:val="-2"/>
                <w:rFonts w:cs="Arial"/>
              </w:rPr>
              <w:t>September 28, 2025</w:t>
            </w:r>
            <w:r>
              <w:rPr>
                <w:sz w:val="22"/>
                <w:spacing w:val="-2"/>
                <w:rFonts w:cs="Arial"/>
              </w:rPr>
              <w:fldChar w:fldCharType="end"/>
            </w:r>
          </w:p>
        </w:tc>
      </w:tr>
      <w:tr>
        <w:trPr/>
        <w:tc>
          <w:tcPr>
            <w:tcW w:w="1530"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sz w:val="22"/>
              </w:rPr>
            </w:pPr>
            <w:r>
              <w:rPr>
                <w:rFonts w:cs="Times New Roman" w:ascii="Times New Roman" w:hAnsi="Times New Roman"/>
                <w:spacing w:val="-2"/>
                <w:sz w:val="22"/>
              </w:rPr>
            </w:r>
          </w:p>
        </w:tc>
        <w:tc>
          <w:tcPr>
            <w:tcW w:w="4950" w:type="dxa"/>
            <w:tcBorders>
              <w:bottom w:val="single" w:sz="12" w:space="0" w:color="000000"/>
            </w:tcBorders>
          </w:tcPr>
          <w:p>
            <w:pPr>
              <w:pStyle w:val="Normal"/>
              <w:tabs>
                <w:tab w:val="clear" w:pos="540"/>
                <w:tab w:val="left" w:pos="-720" w:leader="none"/>
              </w:tabs>
              <w:suppressAutoHyphens w:val="true"/>
              <w:snapToGrid w:val="false"/>
              <w:spacing w:before="90" w:after="54"/>
              <w:ind w:start="93" w:end="0"/>
              <w:rPr>
                <w:rFonts w:ascii="Times New Roman" w:hAnsi="Times New Roman" w:cs="Times New Roman"/>
                <w:spacing w:val="-2"/>
                <w:sz w:val="22"/>
              </w:rPr>
            </w:pPr>
            <w:r>
              <w:rPr>
                <w:rFonts w:cs="Times New Roman" w:ascii="Times New Roman" w:hAnsi="Times New Roman"/>
                <w:spacing w:val="-2"/>
                <w:sz w:val="22"/>
              </w:rPr>
            </w:r>
          </w:p>
        </w:tc>
        <w:tc>
          <w:tcPr>
            <w:tcW w:w="2022"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sz w:val="22"/>
              </w:rPr>
            </w:pPr>
            <w:r>
              <w:rPr>
                <w:rFonts w:cs="Times New Roman" w:ascii="Times New Roman" w:hAnsi="Times New Roman"/>
                <w:spacing w:val="-2"/>
                <w:sz w:val="22"/>
              </w:rPr>
            </w:r>
          </w:p>
        </w:tc>
        <w:tc>
          <w:tcPr>
            <w:tcW w:w="2298" w:type="dxa"/>
            <w:tcBorders>
              <w:bottom w:val="single" w:sz="12" w:space="0" w:color="000000"/>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sz w:val="22"/>
              </w:rPr>
            </w:pPr>
            <w:r>
              <w:rPr>
                <w:rFonts w:cs="Times New Roman" w:ascii="Times New Roman" w:hAnsi="Times New Roman"/>
                <w:spacing w:val="-2"/>
                <w:sz w:val="22"/>
              </w:rPr>
            </w:r>
          </w:p>
        </w:tc>
      </w:tr>
    </w:tbl>
    <w:p>
      <w:pPr>
        <w:pStyle w:val="Body"/>
        <w:tabs>
          <w:tab w:val="left" w:pos="720" w:leader="none"/>
        </w:tabs>
        <w:rPr/>
      </w:pPr>
      <w:r>
        <w:rPr/>
      </w:r>
    </w:p>
    <w:p>
      <w:pPr>
        <w:pStyle w:val="Normal"/>
        <w:rPr/>
      </w:pPr>
      <w:r>
        <w:rPr/>
      </w:r>
    </w:p>
    <w:p>
      <w:pPr>
        <w:pStyle w:val="Normal"/>
        <w:jc w:val="both"/>
        <w:rPr/>
      </w:pPr>
      <w:r>
        <w:rPr/>
        <w:tab/>
        <w:t>Enron Corp.’s name (</w:t>
      </w:r>
      <w:r>
        <w:rPr>
          <w:b/>
          <w:bCs/>
          <w:smallCaps/>
        </w:rPr>
        <w:t>enron</w:t>
      </w:r>
      <w:r>
        <w:rPr/>
        <w:t xml:space="preserve">) and its various trademarks and service marks, such as </w:t>
      </w:r>
      <w:r>
        <w:rPr>
          <w:b/>
          <w:bCs/>
          <w:smallCaps/>
        </w:rPr>
        <w:t>enron</w:t>
      </w:r>
      <w:r>
        <w:rPr>
          <w:smallCaps/>
        </w:rPr>
        <w:t xml:space="preserve">, </w:t>
      </w:r>
      <w:r>
        <w:rPr>
          <w:b/>
          <w:bCs/>
          <w:smallCaps/>
        </w:rPr>
        <w:t>enron corp</w:t>
      </w:r>
      <w:r>
        <w:rPr/>
        <w:t xml:space="preserve"> and the </w:t>
      </w:r>
      <w:r>
        <w:rPr>
          <w:b/>
          <w:bCs/>
          <w:smallCaps/>
        </w:rPr>
        <w:t>fanciful e logo</w:t>
      </w:r>
      <w:r>
        <w:rPr/>
        <w:t>, are valuable assets here in the United States.  Recognizing the importance of these assets, Enron Corp. has taken actions to protect its rights to its name and marks here in the United States and most foreign countries in which it conducts or intends to conduct operations.  This includes augmenting its rights through the trademark registration process; and, as a result, Enron Corp. now owns numerous registrations protecting its marks with the United States Patent and Trademark Office and various foreign registrars.  Each of these registrations is in connection with a specific recitation of goods and/or services.</w:t>
      </w:r>
    </w:p>
    <w:p>
      <w:pPr>
        <w:pStyle w:val="Normal"/>
        <w:jc w:val="both"/>
        <w:rPr/>
      </w:pPr>
      <w:r>
        <w:rPr/>
      </w:r>
    </w:p>
    <w:p>
      <w:pPr>
        <w:pStyle w:val="Normal"/>
        <w:jc w:val="both"/>
        <w:rPr/>
      </w:pPr>
      <w:r>
        <w:rPr/>
        <w:tab/>
        <w:t xml:space="preserve">Enron Corp. strives to protect its name and marks by taking action to prevent third parties from using similar marks.  However, typically such action requires a showing that there is a likelihood of confusion between the use of similar marks.  In any likelihood of confusion, analysis of the specific goods and/or services offered under the two marks will be evaluated.  Moreover, the goods and/or services specified in any registration of the marks will also be evaluated.  Consequently, it is important to make certain that the registrations of the Enron core marks, namely </w:t>
      </w:r>
      <w:r>
        <w:rPr>
          <w:b/>
          <w:bCs/>
          <w:smallCaps/>
        </w:rPr>
        <w:t>enron</w:t>
      </w:r>
      <w:r>
        <w:rPr>
          <w:smallCaps/>
        </w:rPr>
        <w:t xml:space="preserve">, </w:t>
      </w:r>
      <w:r>
        <w:rPr>
          <w:b/>
          <w:bCs/>
          <w:smallCaps/>
        </w:rPr>
        <w:t>enron corp</w:t>
      </w:r>
      <w:r>
        <w:rPr/>
        <w:t xml:space="preserve"> and the </w:t>
      </w:r>
      <w:r>
        <w:rPr>
          <w:b/>
          <w:bCs/>
          <w:smallCaps/>
        </w:rPr>
        <w:t>fanciful e logo</w:t>
      </w:r>
      <w:r>
        <w:rPr/>
        <w:t>, cover the most up to date goods and/or services being offered by Enron and its family of companies.</w:t>
      </w:r>
    </w:p>
    <w:p>
      <w:pPr>
        <w:pStyle w:val="Normal"/>
        <w:jc w:val="both"/>
        <w:rPr/>
      </w:pPr>
      <w:r>
        <w:rPr/>
      </w:r>
    </w:p>
    <w:p>
      <w:pPr>
        <w:pStyle w:val="Normal"/>
        <w:jc w:val="both"/>
        <w:rPr/>
      </w:pPr>
      <w:r>
        <w:rPr/>
        <w:tab/>
        <w:t>To assist you in determining whether the goods and/or services offered by your specific business unit are covered by the existing Enron core mark registrations, the following is a representative recitation of services for the core marks:</w:t>
      </w:r>
    </w:p>
    <w:p>
      <w:pPr>
        <w:pStyle w:val="Normal"/>
        <w:jc w:val="both"/>
        <w:rPr/>
      </w:pPr>
      <w:r>
        <w:rPr/>
      </w:r>
    </w:p>
    <w:p>
      <w:pPr>
        <w:pStyle w:val="BlockText"/>
        <w:rPr/>
      </w:pPr>
      <w:r>
        <w:rPr/>
        <w:tab/>
        <w:t xml:space="preserve">Operation of cogeneration and other non-regulated electric generation facilities for others; providing accounting, computer data processing and database management, and marketing services in the field of generation, transportation and marketing of oil, gas, electricity and related energy commodities for and to others, operation of power generation equipment and facilities for others; distributorship services and making available the acquisition of power and its by-products for and to others, namely, power and its by-products generated from cogeneration, diesel fuel, natural gas, oil, natural gas liquids, liquefied petroleum gas, coal, and related energy sources; providing and arranging for long term natural gas, oil, natural gas liquids, liquefied petroleum gas, petrochemicals and/or refined petroleum products, supply contracts; and distributorships services in the field of natural gas, oil, natural gas liquids, liquefied petroleum gas and petrochemicals for others; </w:t>
      </w:r>
      <w:r>
        <w:rPr>
          <w:i w:val="false"/>
          <w:iCs w:val="false"/>
        </w:rPr>
        <w:t>in International Class 35.</w:t>
      </w:r>
    </w:p>
    <w:p>
      <w:pPr>
        <w:pStyle w:val="Normal"/>
        <w:ind w:start="720" w:end="720"/>
        <w:jc w:val="both"/>
        <w:rPr/>
      </w:pPr>
      <w:r>
        <w:rPr>
          <w:i/>
          <w:iCs/>
        </w:rPr>
        <w:t>Providing brokerage services with respect to oil, gas, electricity and related energy commodities, providing financing for oil, gas, electricity and related energy commodities; and financial risk management services, for and to others; financing of solar energy power projects, water purification and desalinization projects</w:t>
      </w:r>
      <w:r>
        <w:rPr/>
        <w:t>; in International Class 36.</w:t>
      </w:r>
    </w:p>
    <w:p>
      <w:pPr>
        <w:pStyle w:val="Normal"/>
        <w:jc w:val="both"/>
        <w:rPr/>
      </w:pPr>
      <w:r>
        <w:rPr/>
      </w:r>
    </w:p>
    <w:p>
      <w:pPr>
        <w:pStyle w:val="Normal"/>
        <w:ind w:start="720" w:end="720"/>
        <w:jc w:val="both"/>
        <w:rPr/>
      </w:pPr>
      <w:r>
        <w:rPr>
          <w:i/>
          <w:iCs/>
        </w:rPr>
        <w:t>Construction and development services in the field of cogeneration and other non-regulated electric generation facilities, maintenance of power generation equipment and facilities for others, drilling and pumping of oil; construction and development services in the fields of solar energy, water purification, desalinization, and electric power projects and plants</w:t>
      </w:r>
      <w:r>
        <w:rPr/>
        <w:t>; in International Class 37.</w:t>
      </w:r>
    </w:p>
    <w:p>
      <w:pPr>
        <w:pStyle w:val="Normal"/>
        <w:jc w:val="both"/>
        <w:rPr/>
      </w:pPr>
      <w:r>
        <w:rPr/>
      </w:r>
    </w:p>
    <w:p>
      <w:pPr>
        <w:pStyle w:val="Normal"/>
        <w:ind w:start="720" w:end="720"/>
        <w:jc w:val="both"/>
        <w:rPr/>
      </w:pPr>
      <w:r>
        <w:rPr>
          <w:i/>
          <w:iCs/>
        </w:rPr>
        <w:t>Providing analog and digital voice and data telecommunication services to industrial, commercial and residential customers via computer terminals, television transmitting services by means of fibre optics, telephone lines, utility lines, microwave or other airwaves, electronic voice messaging, namely, the recording, storage and subsequent transmission by telephone lines, fibre optics, telephone lines, utility lines, microwave or other airwaves</w:t>
      </w:r>
      <w:r>
        <w:rPr/>
        <w:t>; in International Class 38.</w:t>
      </w:r>
    </w:p>
    <w:p>
      <w:pPr>
        <w:pStyle w:val="Normal"/>
        <w:jc w:val="both"/>
        <w:rPr/>
      </w:pPr>
      <w:r>
        <w:rPr/>
      </w:r>
    </w:p>
    <w:p>
      <w:pPr>
        <w:pStyle w:val="Normal"/>
        <w:ind w:start="720" w:end="720"/>
        <w:jc w:val="both"/>
        <w:rPr/>
      </w:pPr>
      <w:r>
        <w:rPr>
          <w:i/>
          <w:iCs/>
        </w:rPr>
        <w:t>Storage of natural gas, oil, diesel fuel, natural gas liquids, liquefied petroleum gas, petrochemicals, condensate, residue, and refined petroleum products, transportation of natural gas and oil by pipeline or truck; transportation and delivery of natural gas, related liquids, condensate, residue and refined petroleum products by truck; transmission of gas and electrical power to industrial, commercial and residential customers</w:t>
      </w:r>
      <w:r>
        <w:rPr/>
        <w:t>; in International Class 39.</w:t>
      </w:r>
    </w:p>
    <w:p>
      <w:pPr>
        <w:pStyle w:val="Normal"/>
        <w:jc w:val="both"/>
        <w:rPr/>
      </w:pPr>
      <w:r>
        <w:rPr/>
      </w:r>
    </w:p>
    <w:p>
      <w:pPr>
        <w:pStyle w:val="Normal"/>
        <w:ind w:start="720" w:end="720"/>
        <w:jc w:val="both"/>
        <w:rPr/>
      </w:pPr>
      <w:r>
        <w:rPr>
          <w:i/>
          <w:iCs/>
        </w:rPr>
        <w:t>Geophysical exploration services for the oil and gas industries; engineering services in the fields of oil and natural gas extraction, buying natural gas, oil, natural gas liquids, liquefied petroleum gas and petrochemicals for others; providing user access to a global computer network for the transfer and dissemination of a wide variety of information and design and development of solar energy projects and water purification and desalinization projects</w:t>
      </w:r>
      <w:r>
        <w:rPr/>
        <w:t>; in International Class 42.</w:t>
      </w:r>
    </w:p>
    <w:p>
      <w:pPr>
        <w:pStyle w:val="Normal"/>
        <w:jc w:val="both"/>
        <w:rPr/>
      </w:pPr>
      <w:r>
        <w:rPr/>
      </w:r>
    </w:p>
    <w:p>
      <w:pPr>
        <w:pStyle w:val="Normal"/>
        <w:jc w:val="both"/>
        <w:rPr/>
      </w:pPr>
      <w:r>
        <w:rPr/>
        <w:tab/>
        <w:t xml:space="preserve">To the extent there are goods and/or services being offered by your specific business unit that are not covered by the above recitation, please notify Mark Holsworth at 713/853-7285 so that he may arrange for the filing of applications for registration covering the new goods and/or services.  </w:t>
      </w:r>
    </w:p>
    <w:p>
      <w:pPr>
        <w:pStyle w:val="Normal"/>
        <w:jc w:val="both"/>
        <w:rPr/>
      </w:pPr>
      <w:r>
        <w:rPr/>
      </w:r>
    </w:p>
    <w:p>
      <w:pPr>
        <w:pStyle w:val="Normal"/>
        <w:jc w:val="both"/>
        <w:rPr/>
      </w:pPr>
      <w:r>
        <w:rPr/>
        <w:tab/>
      </w:r>
    </w:p>
    <w:sectPr>
      <w:headerReference w:type="default" r:id="rId3"/>
      <w:headerReference w:type="first" r:id="rId4"/>
      <w:footerReference w:type="default" r:id="rId5"/>
      <w:footerReference w:type="first" r:id="rId6"/>
      <w:type w:val="nextPage"/>
      <w:pgSz w:w="12240" w:h="15840"/>
      <w:pgMar w:left="1152" w:right="1152"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jc w:val="center"/>
      <w:rPr>
        <w:b/>
        <w:sz w:val="16"/>
      </w:rPr>
    </w:pPr>
    <w:r>
      <w:rPr>
        <w:b/>
        <w:sz w:val="16"/>
      </w:rPr>
      <w:t>Natural gas. Electricity. Endless possibilities.</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6">
    <w:name w:val="toc 6"/>
    <w:basedOn w:val="Normal"/>
    <w:next w:val="Normal"/>
    <w:pPr>
      <w:tabs>
        <w:tab w:val="clear" w:pos="540"/>
        <w:tab w:val="left" w:pos="9000" w:leader="none"/>
        <w:tab w:val="right" w:pos="9360" w:leader="none"/>
      </w:tabs>
      <w:suppressAutoHyphens w:val="true"/>
      <w:ind w:hanging="720" w:start="720" w:end="0"/>
    </w:pPr>
    <w:rPr>
      <w:rFonts w:ascii="Univers" w:hAnsi="Univers" w:cs="Univers"/>
    </w:rPr>
  </w:style>
  <w:style w:type="paragraph" w:styleId="BlockText">
    <w:name w:val="Block Text"/>
    <w:basedOn w:val="Normal"/>
    <w:qFormat/>
    <w:pPr>
      <w:ind w:hanging="540" w:start="540" w:end="720"/>
      <w:jc w:val="both"/>
    </w:pPr>
    <w:rPr>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2001-03-02T13:23:00Z</dcterms:created>
  <dc:creator>Enron</dc:creator>
  <dc:description/>
  <dc:language>en-CA</dc:language>
  <cp:lastModifiedBy>asyon</cp:lastModifiedBy>
  <cp:lastPrinted>2001-03-02T10:48:00Z</cp:lastPrinted>
  <dcterms:modified xsi:type="dcterms:W3CDTF">2001-03-02T14:19:00Z</dcterms:modified>
  <cp:revision>3</cp:revision>
  <dc:subject/>
  <dc:title> </dc:title>
</cp:coreProperties>
</file>