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drawing>
          <wp:inline distT="0" distB="0" distL="0" distR="0">
            <wp:extent cx="995680" cy="9899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995680" cy="989965"/>
                    </a:xfrm>
                    <a:prstGeom prst="rect">
                      <a:avLst/>
                    </a:prstGeom>
                    <a:noFill/>
                  </pic:spPr>
                </pic:pic>
              </a:graphicData>
            </a:graphic>
          </wp:inline>
        </w:drawing>
      </w:r>
    </w:p>
    <w:p>
      <w:pPr>
        <w:pStyle w:val="Heading"/>
        <w:jc w:val="end"/>
        <w:rPr>
          <w:b w:val="false"/>
          <w:bCs/>
        </w:rPr>
      </w:pPr>
      <w:r>
        <w:rPr/>
        <w:t>Original to Follow By Courier</w:t>
      </w:r>
    </w:p>
    <w:p>
      <w:pPr>
        <w:pStyle w:val="Heading"/>
        <w:jc w:val="end"/>
        <w:rPr>
          <w:b w:val="false"/>
          <w:bCs/>
        </w:rPr>
      </w:pPr>
      <w:r>
        <w:rPr>
          <w:b w:val="false"/>
          <w:bCs/>
        </w:rPr>
      </w:r>
    </w:p>
    <w:tbl>
      <w:tblPr>
        <w:tblW w:w="10708" w:type="dxa"/>
        <w:jc w:val="start"/>
        <w:tblInd w:w="202" w:type="dxa"/>
        <w:tblLayout w:type="fixed"/>
        <w:tblCellMar>
          <w:top w:w="0" w:type="dxa"/>
          <w:start w:w="108" w:type="dxa"/>
          <w:bottom w:w="0" w:type="dxa"/>
          <w:end w:w="108" w:type="dxa"/>
        </w:tblCellMar>
      </w:tblPr>
      <w:tblGrid>
        <w:gridCol w:w="986"/>
        <w:gridCol w:w="5310"/>
        <w:gridCol w:w="1447"/>
        <w:gridCol w:w="2965"/>
      </w:tblGrid>
      <w:tr>
        <w:trPr/>
        <w:tc>
          <w:tcPr>
            <w:tcW w:w="986" w:type="dxa"/>
            <w:tcBorders/>
          </w:tcPr>
          <w:p>
            <w:pPr>
              <w:pStyle w:val="Normal"/>
              <w:ind w:start="-180" w:end="0"/>
              <w:jc w:val="end"/>
              <w:rPr/>
            </w:pPr>
            <w:r>
              <w:rPr/>
              <w:t>To:</w:t>
            </w:r>
          </w:p>
        </w:tc>
        <w:tc>
          <w:tcPr>
            <w:tcW w:w="5310" w:type="dxa"/>
            <w:tcBorders/>
          </w:tcPr>
          <w:p>
            <w:pPr>
              <w:pStyle w:val="Normal"/>
              <w:rPr/>
            </w:pPr>
            <w:r>
              <w:rPr/>
              <w:t>Jeff McMahon (EB2992)</w:t>
            </w:r>
          </w:p>
          <w:p>
            <w:pPr>
              <w:pStyle w:val="To"/>
              <w:rPr/>
            </w:pPr>
            <w:r>
              <w:rPr/>
              <w:t>Ray Bowen (ECN5016)</w:t>
            </w:r>
          </w:p>
          <w:p>
            <w:pPr>
              <w:pStyle w:val="To"/>
              <w:rPr/>
            </w:pPr>
            <w:r>
              <w:rPr/>
              <w:t>Mary Perkins (EB2018)</w:t>
            </w:r>
          </w:p>
        </w:tc>
        <w:tc>
          <w:tcPr>
            <w:tcW w:w="1447" w:type="dxa"/>
            <w:tcBorders/>
          </w:tcPr>
          <w:p>
            <w:pPr>
              <w:pStyle w:val="Normal"/>
              <w:snapToGrid w:val="false"/>
              <w:ind w:start="-180" w:end="0"/>
              <w:rPr/>
            </w:pPr>
            <w:r>
              <w:rPr/>
            </w:r>
          </w:p>
        </w:tc>
        <w:tc>
          <w:tcPr>
            <w:tcW w:w="2965" w:type="dxa"/>
            <w:tcBorders/>
          </w:tcPr>
          <w:p>
            <w:pPr>
              <w:pStyle w:val="Normal"/>
              <w:snapToGrid w:val="false"/>
              <w:rPr/>
            </w:pPr>
            <w:r>
              <w:rPr/>
            </w:r>
          </w:p>
        </w:tc>
      </w:tr>
      <w:tr>
        <w:trPr/>
        <w:tc>
          <w:tcPr>
            <w:tcW w:w="986" w:type="dxa"/>
            <w:tcBorders/>
          </w:tcPr>
          <w:p>
            <w:pPr>
              <w:pStyle w:val="Normal"/>
              <w:snapToGrid w:val="false"/>
              <w:ind w:start="-180" w:end="0"/>
              <w:jc w:val="end"/>
              <w:rPr/>
            </w:pPr>
            <w:r>
              <w:rPr/>
            </w:r>
          </w:p>
        </w:tc>
        <w:tc>
          <w:tcPr>
            <w:tcW w:w="5310" w:type="dxa"/>
            <w:tcBorders/>
          </w:tcPr>
          <w:p>
            <w:pPr>
              <w:pStyle w:val="Normal"/>
              <w:snapToGrid w:val="false"/>
              <w:rPr/>
            </w:pPr>
            <w:r>
              <w:rPr/>
            </w:r>
          </w:p>
        </w:tc>
        <w:tc>
          <w:tcPr>
            <w:tcW w:w="1447" w:type="dxa"/>
            <w:tcBorders/>
          </w:tcPr>
          <w:p>
            <w:pPr>
              <w:pStyle w:val="Normal"/>
              <w:snapToGrid w:val="false"/>
              <w:ind w:start="-180" w:end="0"/>
              <w:rPr/>
            </w:pPr>
            <w:r>
              <w:rPr/>
            </w:r>
          </w:p>
        </w:tc>
        <w:tc>
          <w:tcPr>
            <w:tcW w:w="2965" w:type="dxa"/>
            <w:tcBorders/>
          </w:tcPr>
          <w:p>
            <w:pPr>
              <w:pStyle w:val="Normal"/>
              <w:snapToGrid w:val="false"/>
              <w:rPr/>
            </w:pPr>
            <w:r>
              <w:rPr/>
            </w:r>
          </w:p>
        </w:tc>
      </w:tr>
      <w:tr>
        <w:trPr/>
        <w:tc>
          <w:tcPr>
            <w:tcW w:w="986" w:type="dxa"/>
            <w:tcBorders/>
          </w:tcPr>
          <w:p>
            <w:pPr>
              <w:pStyle w:val="Normal"/>
              <w:ind w:start="-180" w:end="0"/>
              <w:jc w:val="end"/>
              <w:rPr/>
            </w:pPr>
            <w:r>
              <w:rPr/>
              <w:t>From:</w:t>
            </w:r>
          </w:p>
        </w:tc>
        <w:tc>
          <w:tcPr>
            <w:tcW w:w="5310" w:type="dxa"/>
            <w:tcBorders/>
          </w:tcPr>
          <w:p>
            <w:pPr>
              <w:pStyle w:val="From"/>
              <w:jc w:val="start"/>
              <w:rPr/>
            </w:pPr>
            <w:r>
              <w:rPr/>
              <w:t>John Lavorato, Rob Milnthorp and Peter Keohane (the Directors of Enron Canada Corp. and Its Subsidiaries)</w:t>
            </w:r>
          </w:p>
        </w:tc>
        <w:tc>
          <w:tcPr>
            <w:tcW w:w="1447" w:type="dxa"/>
            <w:tcBorders/>
          </w:tcPr>
          <w:p>
            <w:pPr>
              <w:pStyle w:val="Normal"/>
              <w:ind w:start="-180" w:end="0"/>
              <w:jc w:val="end"/>
              <w:rPr/>
            </w:pPr>
            <w:r>
              <w:rPr/>
              <w:t>Department:</w:t>
            </w:r>
          </w:p>
        </w:tc>
        <w:tc>
          <w:tcPr>
            <w:tcW w:w="2965" w:type="dxa"/>
            <w:tcBorders/>
          </w:tcPr>
          <w:p>
            <w:pPr>
              <w:pStyle w:val="Department"/>
              <w:rPr/>
            </w:pPr>
            <w:bookmarkStart w:id="0" w:name="From"/>
            <w:bookmarkEnd w:id="0"/>
            <w:r>
              <w:rPr/>
              <w:t>ECC Legal</w:t>
            </w:r>
          </w:p>
        </w:tc>
      </w:tr>
      <w:tr>
        <w:trPr/>
        <w:tc>
          <w:tcPr>
            <w:tcW w:w="986" w:type="dxa"/>
            <w:tcBorders/>
          </w:tcPr>
          <w:p>
            <w:pPr>
              <w:pStyle w:val="Normal"/>
              <w:snapToGrid w:val="false"/>
              <w:ind w:start="-180" w:end="0"/>
              <w:jc w:val="end"/>
              <w:rPr/>
            </w:pPr>
            <w:r>
              <w:rPr/>
            </w:r>
          </w:p>
        </w:tc>
        <w:tc>
          <w:tcPr>
            <w:tcW w:w="5310" w:type="dxa"/>
            <w:tcBorders/>
          </w:tcPr>
          <w:p>
            <w:pPr>
              <w:pStyle w:val="Normal"/>
              <w:snapToGrid w:val="false"/>
              <w:rPr/>
            </w:pPr>
            <w:r>
              <w:rPr/>
            </w:r>
          </w:p>
        </w:tc>
        <w:tc>
          <w:tcPr>
            <w:tcW w:w="1447" w:type="dxa"/>
            <w:tcBorders/>
          </w:tcPr>
          <w:p>
            <w:pPr>
              <w:pStyle w:val="Normal"/>
              <w:snapToGrid w:val="false"/>
              <w:ind w:start="-180" w:end="0"/>
              <w:rPr/>
            </w:pPr>
            <w:r>
              <w:rPr/>
            </w:r>
          </w:p>
        </w:tc>
        <w:tc>
          <w:tcPr>
            <w:tcW w:w="2965" w:type="dxa"/>
            <w:tcBorders/>
          </w:tcPr>
          <w:p>
            <w:pPr>
              <w:pStyle w:val="Normal"/>
              <w:snapToGrid w:val="false"/>
              <w:rPr/>
            </w:pPr>
            <w:r>
              <w:rPr/>
            </w:r>
          </w:p>
        </w:tc>
      </w:tr>
      <w:tr>
        <w:trPr/>
        <w:tc>
          <w:tcPr>
            <w:tcW w:w="986" w:type="dxa"/>
            <w:tcBorders>
              <w:bottom w:val="single" w:sz="12" w:space="0" w:color="000000"/>
            </w:tcBorders>
          </w:tcPr>
          <w:p>
            <w:pPr>
              <w:pStyle w:val="Normal"/>
              <w:ind w:start="-180" w:end="0"/>
              <w:jc w:val="end"/>
              <w:rPr/>
            </w:pPr>
            <w:r>
              <w:rPr/>
              <w:t>Subject:</w:t>
            </w:r>
          </w:p>
        </w:tc>
        <w:tc>
          <w:tcPr>
            <w:tcW w:w="5310" w:type="dxa"/>
            <w:tcBorders>
              <w:bottom w:val="single" w:sz="12" w:space="0" w:color="000000"/>
            </w:tcBorders>
          </w:tcPr>
          <w:p>
            <w:pPr>
              <w:pStyle w:val="Subject"/>
              <w:rPr/>
            </w:pPr>
            <w:r>
              <w:rPr/>
              <w:t>Debt Funding to Enron Corp.</w:t>
            </w:r>
          </w:p>
        </w:tc>
        <w:tc>
          <w:tcPr>
            <w:tcW w:w="1447" w:type="dxa"/>
            <w:tcBorders>
              <w:bottom w:val="single" w:sz="12" w:space="0" w:color="000000"/>
            </w:tcBorders>
          </w:tcPr>
          <w:p>
            <w:pPr>
              <w:pStyle w:val="Normal"/>
              <w:ind w:start="-180" w:end="0"/>
              <w:jc w:val="end"/>
              <w:rPr/>
            </w:pPr>
            <w:r>
              <w:rPr/>
              <w:t>Date:</w:t>
            </w:r>
          </w:p>
        </w:tc>
        <w:tc>
          <w:tcPr>
            <w:tcW w:w="2965" w:type="dxa"/>
            <w:tcBorders>
              <w:bottom w:val="single" w:sz="12" w:space="0" w:color="000000"/>
            </w:tcBorders>
          </w:tcPr>
          <w:p>
            <w:pPr>
              <w:pStyle w:val="Date"/>
              <w:rPr/>
            </w:pPr>
            <w:r>
              <w:rPr/>
              <w:t>November 21, 2001</w:t>
            </w:r>
          </w:p>
        </w:tc>
      </w:tr>
    </w:tbl>
    <w:p>
      <w:pPr>
        <w:pStyle w:val="BodyText"/>
        <w:rPr>
          <w:sz w:val="20"/>
        </w:rPr>
      </w:pPr>
      <w:r>
        <w:rPr>
          <w:sz w:val="20"/>
        </w:rPr>
      </w:r>
      <w:bookmarkStart w:id="1" w:name="StartOfMemo"/>
      <w:bookmarkStart w:id="2" w:name="StartOfMemo"/>
      <w:bookmarkEnd w:id="2"/>
    </w:p>
    <w:p>
      <w:pPr>
        <w:pStyle w:val="Body"/>
        <w:rPr>
          <w:sz w:val="20"/>
        </w:rPr>
      </w:pPr>
      <w:r>
        <w:rPr>
          <w:sz w:val="20"/>
        </w:rPr>
      </w:r>
    </w:p>
    <w:p>
      <w:pPr>
        <w:pStyle w:val="Normal"/>
        <w:rPr/>
      </w:pPr>
      <w:r>
        <w:rPr/>
        <w:t>From time to time in the past, and without notice to, or the consent of, the Directors of Enron Canada, Enron Corp. Treasury has unilaterally withdrawn funds from the bank accounts of Enron Canada and its Subsidiaries as inter-company debt to be used for corporate purposes.</w:t>
      </w:r>
    </w:p>
    <w:p>
      <w:pPr>
        <w:pStyle w:val="Normal"/>
        <w:rPr/>
      </w:pPr>
      <w:r>
        <w:rPr/>
      </w:r>
    </w:p>
    <w:p>
      <w:pPr>
        <w:pStyle w:val="Normal"/>
        <w:rPr/>
      </w:pPr>
      <w:r>
        <w:rPr/>
        <w:t>Given the present circumstances, and the potential effect which further withdrawal of funds may have on the financial condition of Enron Canada and its Subsidiaries, we hereby confirm that no funds are to be withdrawn in the future from any of the bank accounts of Enron Canada or its Subsidiaries without first obtaining our consent, and then only on the terms and conditions agreed to by us, as we consider appropriate in all the circumstances.</w:t>
      </w:r>
    </w:p>
    <w:p>
      <w:pPr>
        <w:pStyle w:val="Normal"/>
        <w:rPr/>
      </w:pPr>
      <w:r>
        <w:rPr/>
      </w:r>
    </w:p>
    <w:p>
      <w:pPr>
        <w:pStyle w:val="Normal"/>
        <w:rPr/>
      </w:pPr>
      <w:r>
        <w:rPr/>
        <w:t>If you have any questions or concerns, please contact any of us.</w:t>
      </w:r>
    </w:p>
    <w:p>
      <w:pPr>
        <w:pStyle w:val="Normal"/>
        <w:rPr/>
      </w:pPr>
      <w:r>
        <w:rPr/>
      </w:r>
    </w:p>
    <w:p>
      <w:pPr>
        <w:pStyle w:val="Normal"/>
        <w:rPr/>
      </w:pPr>
      <w:r>
        <w:rPr/>
      </w:r>
    </w:p>
    <w:sectPr>
      <w:headerReference w:type="default" r:id="rId3"/>
      <w:headerReference w:type="first" r:id="rId4"/>
      <w:footerReference w:type="default" r:id="rId5"/>
      <w:footerReference w:type="first" r:id="rId6"/>
      <w:type w:val="nextPage"/>
      <w:pgSz w:w="12240" w:h="15840"/>
      <w:pgMar w:left="720" w:right="720" w:gutter="0" w:header="720" w:top="776" w:footer="36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Helvetica">
    <w:altName w:val="Arial"/>
    <w:charset w:val="00" w:characterSet="windows-1252"/>
    <w:family w:val="swiss"/>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1" w:color="000000"/>
      </w:pBdr>
      <w:tabs>
        <w:tab w:val="clear" w:pos="4320"/>
        <w:tab w:val="clear" w:pos="8640"/>
        <w:tab w:val="left" w:pos="3240" w:leader="none"/>
        <w:tab w:val="left" w:pos="6480" w:leader="none"/>
        <w:tab w:val="right" w:pos="10800" w:leader="none"/>
      </w:tabs>
      <w:rPr>
        <w:b/>
      </w:rPr>
    </w:pPr>
    <w:r>
      <w:rPr>
        <w:b/>
      </w:rPr>
      <w:t>Respect</w:t>
      <w:tab/>
      <w:t>Integrity</w:t>
      <w:tab/>
      <w:t>Communication</w:t>
      <w:tab/>
      <w:t>Excellence</w:t>
    </w:r>
  </w:p>
  <w:p>
    <w:pPr>
      <w:pStyle w:val="Footer"/>
      <w:tabs>
        <w:tab w:val="clear" w:pos="4320"/>
        <w:tab w:val="left" w:pos="3780" w:leader="none"/>
        <w:tab w:val="center" w:pos="7560" w:leader="none"/>
        <w:tab w:val="right" w:pos="8640" w:leader="none"/>
        <w:tab w:val="right" w:pos="10800" w:leader="none"/>
      </w:tabs>
      <w:rPr>
        <w:rFonts w:ascii="Arial Narrow" w:hAnsi="Arial Narrow" w:cs="Arial Narrow"/>
      </w:rPr>
    </w:pPr>
    <w:r>
      <w:rPr>
        <w:rFonts w:cs="Arial Narrow" w:ascii="Arial Narrow" w:hAnsi="Arial Narrow"/>
      </w:rPr>
      <w:fldChar w:fldCharType="begin"/>
    </w:r>
    <w:r>
      <w:rPr>
        <w:rFonts w:cs="Arial Narrow" w:ascii="Arial Narrow" w:hAnsi="Arial Narrow"/>
      </w:rPr>
      <w:instrText xml:space="preserve"> FILENAME \p </w:instrText>
    </w:r>
    <w:r>
      <w:rPr>
        <w:rFonts w:cs="Arial Narrow" w:ascii="Arial Narrow" w:hAnsi="Arial Narrow"/>
      </w:rPr>
      <w:fldChar w:fldCharType="separate"/>
    </w:r>
    <w:r>
      <w:rPr>
        <w:rFonts w:cs="Arial Narrow" w:ascii="Arial Narrow" w:hAnsi="Arial Narrow"/>
      </w:rPr>
      <w:t>/mnt/main-storage/datasets/enron-docs/doc/memo.bowen.debt_funding_to_Enron_Corp.doc</w:t>
    </w:r>
    <w:r>
      <w:rPr>
        <w:rFonts w:cs="Arial Narrow" w:ascii="Arial Narrow" w:hAnsi="Arial Narrow"/>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1" w:color="000000"/>
      </w:pBdr>
      <w:tabs>
        <w:tab w:val="clear" w:pos="4320"/>
        <w:tab w:val="clear" w:pos="8640"/>
        <w:tab w:val="left" w:pos="3240" w:leader="none"/>
        <w:tab w:val="left" w:pos="6480" w:leader="none"/>
        <w:tab w:val="right" w:pos="10800" w:leader="none"/>
      </w:tabs>
      <w:rPr>
        <w:b/>
      </w:rPr>
    </w:pPr>
    <w:r>
      <w:rPr>
        <w:b/>
      </w:rPr>
      <w:t>Respect</w:t>
      <w:tab/>
      <w:t>Integrity</w:t>
      <w:tab/>
      <w:t>Communication</w:t>
      <w:tab/>
      <w:t>Excellence</w:t>
    </w:r>
  </w:p>
  <w:p>
    <w:pPr>
      <w:pStyle w:val="Footer"/>
      <w:tabs>
        <w:tab w:val="clear" w:pos="4320"/>
        <w:tab w:val="left" w:pos="3780" w:leader="none"/>
        <w:tab w:val="center" w:pos="7560" w:leader="none"/>
        <w:tab w:val="right" w:pos="8640" w:leader="none"/>
        <w:tab w:val="right" w:pos="10800" w:leader="none"/>
      </w:tabs>
      <w:rPr/>
    </w:pPr>
    <w:r>
      <w:rPr/>
      <w:fldChar w:fldCharType="begin"/>
    </w:r>
    <w:r>
      <w:rPr/>
      <w:instrText xml:space="preserve"> FILENAME \p </w:instrText>
    </w:r>
    <w:r>
      <w:rPr/>
      <w:fldChar w:fldCharType="separate"/>
    </w:r>
    <w:r>
      <w:rPr/>
      <w:t>/mnt/main-storage/datasets/enron-docs/doc/memo.bowen.debt_funding_to_Enron_Corp.doc</w:t>
    </w:r>
    <w: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p>
    <w:pPr>
      <w:pStyle w:val="Header"/>
      <w:rPr/>
    </w:pPr>
    <w:r>
      <w:rPr/>
      <w:t xml:space="preserve">Page </w:t>
    </w:r>
    <w:r>
      <w:rPr/>
      <w:fldChar w:fldCharType="begin"/>
    </w:r>
    <w:r>
      <w:rPr/>
      <w:instrText xml:space="preserve"> PAGE </w:instrText>
    </w:r>
    <w:r>
      <w:rPr/>
      <w:fldChar w:fldCharType="separate"/>
    </w:r>
    <w:r>
      <w:rPr/>
      <w:t>0</w:t>
    </w:r>
    <w:r>
      <w:rPr/>
      <w:fldChar w:fldCharType="end"/>
    </w:r>
  </w:p>
  <w:p>
    <w:pPr>
      <w:pStyle w:val="Header"/>
      <w:rPr/>
    </w:pPr>
    <w:r>
      <w:rPr/>
    </w:r>
  </w:p>
  <w:p>
    <w:pPr>
      <w:pStyle w:val="Header"/>
      <w:pBdr>
        <w:top w:val="single" w:sz="4" w:space="1" w:color="000000"/>
      </w:pBd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2556510</wp:posOffset>
              </wp:positionH>
              <wp:positionV relativeFrom="paragraph">
                <wp:posOffset>-361315</wp:posOffset>
              </wp:positionV>
              <wp:extent cx="3877310" cy="702945"/>
              <wp:effectExtent l="0" t="0" r="0" b="0"/>
              <wp:wrapSquare wrapText="bothSides"/>
              <wp:docPr id="2" name="Frame1"/>
              <a:graphic xmlns:a="http://schemas.openxmlformats.org/drawingml/2006/main">
                <a:graphicData uri="http://schemas.microsoft.com/office/word/2010/wordprocessingShape">
                  <wps:wsp>
                    <wps:cNvSpPr txBox="1"/>
                    <wps:spPr>
                      <a:xfrm>
                        <a:off x="0" y="0"/>
                        <a:ext cx="3877310" cy="702945"/>
                      </a:xfrm>
                      <a:prstGeom prst="rect"/>
                      <a:solidFill>
                        <a:srgbClr val="FFFFFF">
                          <a:alpha val="0"/>
                        </a:srgbClr>
                      </a:solidFill>
                    </wps:spPr>
                    <wps:txbx>
                      <w:txbxContent>
                        <w:p>
                          <w:pPr>
                            <w:pStyle w:val="Normal"/>
                            <w:ind w:start="3600" w:end="0"/>
                            <w:rPr>
                              <w:b/>
                              <w:sz w:val="32"/>
                            </w:rPr>
                          </w:pPr>
                          <w:r>
                            <w:rPr>
                              <w:b/>
                              <w:sz w:val="32"/>
                            </w:rPr>
                          </w:r>
                        </w:p>
                        <w:p>
                          <w:pPr>
                            <w:pStyle w:val="Normal"/>
                            <w:ind w:start="3600" w:end="0"/>
                            <w:rPr>
                              <w:b/>
                              <w:sz w:val="32"/>
                            </w:rPr>
                          </w:pPr>
                          <w:r>
                            <w:rPr>
                              <w:b/>
                              <w:sz w:val="32"/>
                            </w:rPr>
                            <w:t>InterofficeMemorandum</w:t>
                          </w:r>
                        </w:p>
                      </w:txbxContent>
                    </wps:txbx>
                    <wps:bodyPr anchor="t" lIns="0" tIns="0" rIns="0" bIns="0">
                      <a:noAutofit/>
                    </wps:bodyPr>
                  </wps:wsp>
                </a:graphicData>
              </a:graphic>
            </wp:anchor>
          </w:drawing>
        </mc:Choice>
        <mc:Fallback>
          <w:pict>
            <v:rect fillcolor="#FFFFFF" style="position:absolute;rotation:-0;width:305.3pt;height:55.35pt;mso-wrap-distance-left:9.35pt;mso-wrap-distance-right:9.35pt;mso-wrap-distance-top:0pt;mso-wrap-distance-bottom:0pt;margin-top:-28.45pt;mso-position-vertical-relative:text;margin-left:201.3pt;mso-position-horizontal-relative:page">
              <v:fill opacity="0f"/>
              <v:textbox inset="0in,0in,0in,0in">
                <w:txbxContent>
                  <w:p>
                    <w:pPr>
                      <w:pStyle w:val="Normal"/>
                      <w:ind w:start="3600" w:end="0"/>
                      <w:rPr>
                        <w:b/>
                        <w:sz w:val="32"/>
                      </w:rPr>
                    </w:pPr>
                    <w:r>
                      <w:rPr>
                        <w:b/>
                        <w:sz w:val="32"/>
                      </w:rPr>
                    </w:r>
                  </w:p>
                  <w:p>
                    <w:pPr>
                      <w:pStyle w:val="Normal"/>
                      <w:ind w:start="3600" w:end="0"/>
                      <w:rPr>
                        <w:b/>
                        <w:sz w:val="32"/>
                      </w:rPr>
                    </w:pPr>
                    <w:r>
                      <w:rPr>
                        <w:b/>
                        <w:sz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Roman"/>
      <w:lvlText w:val="(%1)"/>
      <w:lvlJc w:val="start"/>
      <w:pPr>
        <w:tabs>
          <w:tab w:val="num" w:pos="2160"/>
        </w:tabs>
        <w:ind w:start="2160" w:hanging="720"/>
      </w:pPr>
      <w:rPr>
        <w:smallCaps w:val="false"/>
        <w:caps w:val="false"/>
        <w:outline w:val="false"/>
        <w:dstrike w:val="false"/>
        <w:strike w:val="false"/>
        <w:vertAlign w:val="baseline"/>
        <w:position w:val="0"/>
        <w:sz w:val="20"/>
        <w:sz w:val="20"/>
        <w:i w:val="false"/>
        <w:shadow w:val="false"/>
        <w:b w:val="false"/>
        <w:vanish w:val="false"/>
        <w:rFonts w:ascii="Helvetica" w:hAnsi="Helvetica" w:cs="Helvetica"/>
      </w:rPr>
    </w:lvl>
  </w:abstractNum>
  <w:abstractNum w:abstractNumId="2">
    <w:lvl w:ilvl="0">
      <w:start w:val="1"/>
      <w:numFmt w:val="lowerLetter"/>
      <w:lvlText w:val="(%1)"/>
      <w:lvlJc w:val="start"/>
      <w:pPr>
        <w:tabs>
          <w:tab w:val="num" w:pos="1440"/>
        </w:tabs>
        <w:ind w:start="1440" w:hanging="720"/>
      </w:pPr>
      <w:rPr>
        <w:sz w:val="20"/>
        <w:rFonts w:ascii="Arial" w:hAnsi="Arial" w:cs="Arial"/>
      </w:rPr>
    </w:lvl>
    <w:lvl w:ilvl="1">
      <w:start w:val="1"/>
      <w:numFmt w:val="lowerLetter"/>
      <w:lvlText w:val="(%2)"/>
      <w:lvlJc w:val="start"/>
      <w:pPr>
        <w:tabs>
          <w:tab w:val="num" w:pos="1440"/>
        </w:tabs>
        <w:ind w:start="1440" w:hanging="720"/>
      </w:pPr>
      <w:rPr/>
    </w:lvl>
    <w:lvl w:ilvl="2">
      <w:start w:val="1"/>
      <w:numFmt w:val="lowerRoman"/>
      <w:lvlText w:val="%3)"/>
      <w:lvlJc w:val="start"/>
      <w:pPr>
        <w:tabs>
          <w:tab w:val="num" w:pos="2160"/>
        </w:tabs>
        <w:ind w:start="2160" w:hanging="720"/>
      </w:pPr>
      <w:rPr/>
    </w:lvl>
    <w:lvl w:ilvl="3">
      <w:start w:val="1"/>
      <w:numFmt w:val="decimal"/>
      <w:lvlText w:val="(%4)"/>
      <w:lvlJc w:val="start"/>
      <w:pPr>
        <w:tabs>
          <w:tab w:val="num" w:pos="2880"/>
        </w:tabs>
        <w:ind w:start="2880" w:hanging="720"/>
      </w:pPr>
      <w:rPr/>
    </w:lvl>
    <w:lvl w:ilvl="4">
      <w:start w:val="1"/>
      <w:numFmt w:val="lowerLetter"/>
      <w:lvlText w:val="(%5)"/>
      <w:lvlJc w:val="start"/>
      <w:pPr>
        <w:tabs>
          <w:tab w:val="num" w:pos="1800"/>
        </w:tabs>
        <w:ind w:start="1800" w:hanging="360"/>
      </w:pPr>
      <w:rPr/>
    </w:lvl>
    <w:lvl w:ilvl="5">
      <w:start w:val="1"/>
      <w:numFmt w:val="lowerRoman"/>
      <w:lvlText w:val="(%6)"/>
      <w:lvlJc w:val="start"/>
      <w:pPr>
        <w:tabs>
          <w:tab w:val="num" w:pos="2160"/>
        </w:tabs>
        <w:ind w:start="2160" w:hanging="360"/>
      </w:pPr>
      <w:rPr/>
    </w:lvl>
    <w:lvl w:ilvl="6">
      <w:start w:val="1"/>
      <w:numFmt w:val="decimal"/>
      <w:lvlText w:val="%7."/>
      <w:lvlJc w:val="start"/>
      <w:pPr>
        <w:tabs>
          <w:tab w:val="num" w:pos="2520"/>
        </w:tabs>
        <w:ind w:start="2520" w:hanging="360"/>
      </w:pPr>
      <w:rPr/>
    </w:lvl>
    <w:lvl w:ilvl="7">
      <w:start w:val="1"/>
      <w:numFmt w:val="lowerLetter"/>
      <w:lvlText w:val="%8."/>
      <w:lvlJc w:val="start"/>
      <w:pPr>
        <w:tabs>
          <w:tab w:val="num" w:pos="2880"/>
        </w:tabs>
        <w:ind w:start="2880" w:hanging="360"/>
      </w:pPr>
      <w:rPr/>
    </w:lvl>
    <w:lvl w:ilvl="8">
      <w:start w:val="1"/>
      <w:numFmt w:val="lowerRoman"/>
      <w:lvlText w:val="%9."/>
      <w:lvlJc w:val="start"/>
      <w:pPr>
        <w:tabs>
          <w:tab w:val="num" w:pos="3240"/>
        </w:tabs>
        <w:ind w:start="3240" w:hanging="360"/>
      </w:pPr>
      <w:rPr/>
    </w:lvl>
  </w:abstractNum>
  <w:abstractNum w:abstractNumId="3">
    <w:lvl w:ilvl="0">
      <w:start w:val="1"/>
      <w:numFmt w:val="decimal"/>
      <w:lvlText w:val="%1."/>
      <w:lvlJc w:val="start"/>
      <w:pPr>
        <w:tabs>
          <w:tab w:val="num" w:pos="720"/>
        </w:tabs>
        <w:ind w:start="720" w:hanging="720"/>
      </w:pPr>
      <w:rPr>
        <w:sz w:val="20"/>
        <w:rFonts w:ascii="Arial" w:hAnsi="Arial" w:cs="Arial"/>
      </w:rPr>
    </w:lvl>
    <w:lvl w:ilvl="1">
      <w:start w:val="1"/>
      <w:numFmt w:val="lowerLetter"/>
      <w:lvlText w:val="(%2)"/>
      <w:lvlJc w:val="start"/>
      <w:pPr>
        <w:tabs>
          <w:tab w:val="num" w:pos="1440"/>
        </w:tabs>
        <w:ind w:start="1440" w:hanging="720"/>
      </w:pPr>
      <w:rPr/>
    </w:lvl>
    <w:lvl w:ilvl="2">
      <w:start w:val="1"/>
      <w:numFmt w:val="lowerRoman"/>
      <w:lvlText w:val="%3)"/>
      <w:lvlJc w:val="start"/>
      <w:pPr>
        <w:tabs>
          <w:tab w:val="num" w:pos="2160"/>
        </w:tabs>
        <w:ind w:start="2160" w:hanging="720"/>
      </w:pPr>
      <w:rPr/>
    </w:lvl>
    <w:lvl w:ilvl="3">
      <w:start w:val="1"/>
      <w:numFmt w:val="decimal"/>
      <w:lvlText w:val="(%4)"/>
      <w:lvlJc w:val="start"/>
      <w:pPr>
        <w:tabs>
          <w:tab w:val="num" w:pos="2880"/>
        </w:tabs>
        <w:ind w:start="2880" w:hanging="720"/>
      </w:pPr>
      <w:rPr/>
    </w:lvl>
    <w:lvl w:ilvl="4">
      <w:start w:val="1"/>
      <w:numFmt w:val="lowerLetter"/>
      <w:lvlText w:val="(%5)"/>
      <w:lvlJc w:val="start"/>
      <w:pPr>
        <w:tabs>
          <w:tab w:val="num" w:pos="1800"/>
        </w:tabs>
        <w:ind w:start="1800" w:hanging="360"/>
      </w:pPr>
      <w:rPr/>
    </w:lvl>
    <w:lvl w:ilvl="5">
      <w:start w:val="1"/>
      <w:numFmt w:val="lowerRoman"/>
      <w:lvlText w:val="(%6)"/>
      <w:lvlJc w:val="start"/>
      <w:pPr>
        <w:tabs>
          <w:tab w:val="num" w:pos="2160"/>
        </w:tabs>
        <w:ind w:start="2160" w:hanging="360"/>
      </w:pPr>
      <w:rPr/>
    </w:lvl>
    <w:lvl w:ilvl="6">
      <w:start w:val="1"/>
      <w:numFmt w:val="decimal"/>
      <w:lvlText w:val="%7."/>
      <w:lvlJc w:val="start"/>
      <w:pPr>
        <w:tabs>
          <w:tab w:val="num" w:pos="2520"/>
        </w:tabs>
        <w:ind w:start="2520" w:hanging="360"/>
      </w:pPr>
      <w:rPr/>
    </w:lvl>
    <w:lvl w:ilvl="7">
      <w:start w:val="1"/>
      <w:numFmt w:val="lowerLetter"/>
      <w:lvlText w:val="%8."/>
      <w:lvlJc w:val="start"/>
      <w:pPr>
        <w:tabs>
          <w:tab w:val="num" w:pos="2880"/>
        </w:tabs>
        <w:ind w:start="2880" w:hanging="360"/>
      </w:pPr>
      <w:rPr/>
    </w:lvl>
    <w:lvl w:ilvl="8">
      <w:start w:val="1"/>
      <w:numFmt w:val="lowerRoman"/>
      <w:lvlText w:val="%9."/>
      <w:lvlJc w:val="start"/>
      <w:pPr>
        <w:tabs>
          <w:tab w:val="num" w:pos="3240"/>
        </w:tabs>
        <w:ind w:start="3240" w:hanging="360"/>
      </w:pPr>
      <w:rPr/>
    </w:lvl>
  </w:abstractNum>
  <w:abstractNum w:abstractNumId="4">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Arial" w:hAnsi="Arial" w:eastAsia="Times New Roman" w:cs="Arial"/>
      <w:color w:val="000080"/>
      <w:sz w:val="20"/>
      <w:szCs w:val="20"/>
      <w:lang w:val="en-US" w:bidi="ar-SA" w:eastAsia="zh-CN"/>
    </w:rPr>
  </w:style>
  <w:style w:type="character" w:styleId="WW8Num1z0">
    <w:name w:val="WW8Num1z0"/>
    <w:qFormat/>
    <w:rPr>
      <w:rFonts w:ascii="Helvetica" w:hAnsi="Helvetica" w:cs="Helvetica"/>
      <w:b w:val="false"/>
      <w:i w:val="false"/>
      <w:caps w:val="false"/>
      <w:smallCaps w:val="false"/>
      <w:strike w:val="false"/>
      <w:dstrike w:val="false"/>
      <w:outline w:val="false"/>
      <w:shadow w:val="false"/>
      <w:vanish w:val="false"/>
      <w:position w:val="0"/>
      <w:sz w:val="20"/>
      <w:sz w:val="20"/>
      <w:vertAlign w:val="baseline"/>
    </w:rPr>
  </w:style>
  <w:style w:type="character" w:styleId="WW8Num2z0">
    <w:name w:val="WW8Num2z0"/>
    <w:qFormat/>
    <w:rPr>
      <w:rFonts w:ascii="Arial" w:hAnsi="Arial" w:cs="Arial"/>
      <w:sz w:val="20"/>
    </w:rPr>
  </w:style>
  <w:style w:type="character" w:styleId="WW8Num2z1">
    <w:name w:val="WW8Num2z1"/>
    <w:qFormat/>
    <w:rPr/>
  </w:style>
  <w:style w:type="character" w:styleId="WW8Num3z0">
    <w:name w:val="WW8Num3z0"/>
    <w:qFormat/>
    <w:rPr>
      <w:rFonts w:ascii="Arial" w:hAnsi="Arial" w:cs="Arial"/>
      <w:sz w:val="20"/>
    </w:rPr>
  </w:style>
  <w:style w:type="character" w:styleId="WW8Num3z1">
    <w:name w:val="WW8Num3z1"/>
    <w:qFormat/>
    <w:rPr/>
  </w:style>
  <w:style w:type="character" w:styleId="DefaultParagraphFont">
    <w:name w:val="Default Paragraph Font"/>
    <w:qFormat/>
    <w:rPr/>
  </w:style>
  <w:style w:type="paragraph" w:styleId="Heading">
    <w:name w:val="Heading"/>
    <w:basedOn w:val="Normal"/>
    <w:next w:val="BodyText"/>
    <w:qFormat/>
    <w:pPr/>
    <w:rPr>
      <w:rFonts w:ascii="Arial" w:hAnsi="Arial" w:cs="Arial"/>
      <w:b/>
      <w:sz w:val="24"/>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16"/>
    </w:rPr>
  </w:style>
  <w:style w:type="paragraph" w:styleId="Header">
    <w:name w:val="header"/>
    <w:basedOn w:val="Normal"/>
    <w:pPr>
      <w:tabs>
        <w:tab w:val="clear" w:pos="720"/>
        <w:tab w:val="center" w:pos="4320" w:leader="none"/>
        <w:tab w:val="right" w:pos="8640" w:leader="none"/>
      </w:tabs>
    </w:pPr>
    <w:rPr>
      <w:sz w:val="20"/>
    </w:rPr>
  </w:style>
  <w:style w:type="paragraph" w:styleId="Subject">
    <w:name w:val="Subject"/>
    <w:basedOn w:val="Normal"/>
    <w:qFormat/>
    <w:pPr/>
    <w:rPr>
      <w:rFonts w:ascii="Arial" w:hAnsi="Arial" w:cs="Arial"/>
    </w:rPr>
  </w:style>
  <w:style w:type="paragraph" w:styleId="Date">
    <w:name w:val="Date"/>
    <w:basedOn w:val="Normal"/>
    <w:qFormat/>
    <w:pPr/>
    <w:rPr>
      <w:rFonts w:ascii="Arial" w:hAnsi="Arial" w:cs="Arial"/>
    </w:rPr>
  </w:style>
  <w:style w:type="paragraph" w:styleId="To">
    <w:name w:val="To"/>
    <w:basedOn w:val="Normal"/>
    <w:qFormat/>
    <w:pPr/>
    <w:rPr>
      <w:rFonts w:ascii="Arial" w:hAnsi="Arial" w:cs="Arial"/>
    </w:rPr>
  </w:style>
  <w:style w:type="paragraph" w:styleId="From">
    <w:name w:val="From"/>
    <w:basedOn w:val="Normal"/>
    <w:qFormat/>
    <w:pPr/>
    <w:rPr>
      <w:rFonts w:ascii="Arial" w:hAnsi="Arial" w:cs="Arial"/>
    </w:rPr>
  </w:style>
  <w:style w:type="paragraph" w:styleId="Body">
    <w:name w:val="Body"/>
    <w:basedOn w:val="Normal"/>
    <w:qFormat/>
    <w:pPr/>
    <w:rPr>
      <w:sz w:val="20"/>
    </w:rPr>
  </w:style>
  <w:style w:type="paragraph" w:styleId="Department">
    <w:name w:val="Department"/>
    <w:basedOn w:val="Normal"/>
    <w:qFormat/>
    <w:pPr/>
    <w:rPr>
      <w:rFonts w:ascii="Arial" w:hAnsi="Arial" w:cs="Arial"/>
    </w:rPr>
  </w:style>
  <w:style w:type="paragraph" w:styleId="Sharon1">
    <w:name w:val="Sharon1"/>
    <w:basedOn w:val="Normal"/>
    <w:qFormat/>
    <w:pPr>
      <w:numPr>
        <w:ilvl w:val="0"/>
        <w:numId w:val="3"/>
      </w:numPr>
      <w:spacing w:before="0" w:after="240"/>
    </w:pPr>
    <w:rPr>
      <w:sz w:val="20"/>
    </w:rPr>
  </w:style>
  <w:style w:type="paragraph" w:styleId="Sharon2">
    <w:name w:val="Sharon2"/>
    <w:basedOn w:val="Normal"/>
    <w:qFormat/>
    <w:pPr>
      <w:numPr>
        <w:ilvl w:val="0"/>
        <w:numId w:val="2"/>
      </w:numPr>
      <w:spacing w:before="0" w:after="240"/>
    </w:pPr>
    <w:rPr>
      <w:rFonts w:ascii="Helvetica" w:hAnsi="Helvetica" w:cs="Helvetica"/>
    </w:rPr>
  </w:style>
  <w:style w:type="paragraph" w:styleId="Sharon3">
    <w:name w:val="Sharon3"/>
    <w:basedOn w:val="Normal"/>
    <w:qFormat/>
    <w:pPr>
      <w:numPr>
        <w:ilvl w:val="0"/>
        <w:numId w:val="1"/>
      </w:numPr>
      <w:spacing w:before="0" w:after="240"/>
    </w:pPr>
    <w:rPr>
      <w:rFonts w:ascii="Helvetica" w:hAnsi="Helvetica" w:cs="Helvetica"/>
      <w:color w:val="000000"/>
      <w:szCs w:val="24"/>
    </w:rPr>
  </w:style>
  <w:style w:type="paragraph" w:styleId="NormalIndent">
    <w:name w:val="Normal Indent"/>
    <w:basedOn w:val="Normal"/>
    <w:qFormat/>
    <w:pPr>
      <w:ind w:hanging="0" w:start="720" w:end="0"/>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Memo.dot</Template>
  <TotalTime>21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2001-11-21T13:40:00Z</dcterms:created>
  <dc:creator>scrawfo3</dc:creator>
  <dc:description/>
  <dc:language>en-CA</dc:language>
  <cp:lastModifiedBy>scrawfo3</cp:lastModifiedBy>
  <cp:lastPrinted>2001-11-21T09:41:00Z</cp:lastPrinted>
  <dcterms:modified xsi:type="dcterms:W3CDTF">2001-11-21T14:12:00Z</dcterms:modified>
  <cp:revision>3</cp:revision>
  <dc:subject/>
  <dc:title> </dc:title>
</cp:coreProperties>
</file>