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ssageHeader"/>
        <w:rPr>
          <w:rFonts w:ascii="Times New Roman" w:hAnsi="Times New Roman" w:cs="Times New Roman"/>
          <w:sz w:val="24"/>
        </w:rPr>
      </w:pPr>
      <w:r>
        <w:rPr>
          <w:rFonts w:cs="Times New Roman" w:ascii="Times New Roman" w:hAnsi="Times New Roman"/>
          <w:sz w:val="24"/>
        </w:rPr>
        <w:t>Date:</w:t>
        <w:tab/>
        <w:t>July 17, 2000</w:t>
      </w:r>
    </w:p>
    <w:p>
      <w:pPr>
        <w:pStyle w:val="MessageHeader"/>
        <w:rPr>
          <w:rFonts w:ascii="Times New Roman" w:hAnsi="Times New Roman" w:cs="Times New Roman"/>
          <w:sz w:val="24"/>
        </w:rPr>
      </w:pPr>
      <w:r>
        <w:rPr>
          <w:rFonts w:cs="Times New Roman" w:ascii="Times New Roman" w:hAnsi="Times New Roman"/>
          <w:sz w:val="24"/>
        </w:rPr>
        <w:t>To:</w:t>
        <w:tab/>
        <w:t>James Steffes, Paul Kaufman, Tim Belden, Sue Mara, Jeff Dasovich, Bob Badeer, Richard Sanders, Elizabeth Sager</w:t>
      </w:r>
    </w:p>
    <w:p>
      <w:pPr>
        <w:pStyle w:val="MessageHeader"/>
        <w:rPr>
          <w:rFonts w:ascii="Times New Roman" w:hAnsi="Times New Roman" w:cs="Times New Roman"/>
          <w:sz w:val="24"/>
        </w:rPr>
      </w:pPr>
      <w:r>
        <w:rPr>
          <w:rFonts w:cs="Times New Roman" w:ascii="Times New Roman" w:hAnsi="Times New Roman"/>
          <w:sz w:val="24"/>
        </w:rPr>
        <w:t>From:</w:t>
        <w:tab/>
        <w:t>Mary Hain</w:t>
      </w:r>
    </w:p>
    <w:p>
      <w:pPr>
        <w:pStyle w:val="MessageHeader"/>
        <w:rPr>
          <w:sz w:val="24"/>
        </w:rPr>
      </w:pPr>
      <w:r>
        <w:rPr>
          <w:rFonts w:cs="Times New Roman" w:ascii="Times New Roman" w:hAnsi="Times New Roman"/>
          <w:sz w:val="24"/>
        </w:rPr>
        <w:t>Subject:</w:t>
        <w:tab/>
        <w:t>California ISO Price Caps</w:t>
      </w:r>
    </w:p>
    <w:p>
      <w:pPr>
        <w:pStyle w:val="Line"/>
        <w:rPr>
          <w:sz w:val="24"/>
        </w:rPr>
      </w:pPr>
      <w:r>
        <w:rPr>
          <w:sz w:val="24"/>
        </w:rPr>
      </w:r>
    </w:p>
    <w:p>
      <w:pPr>
        <w:pStyle w:val="BodyText"/>
        <w:rPr>
          <w:sz w:val="24"/>
        </w:rPr>
      </w:pPr>
      <w:r>
        <w:rPr>
          <w:sz w:val="24"/>
        </w:rPr>
        <w:t>Concerning the California Independent System Operator (ISO) Board’s vote to cap ancillary service prices, you have asked me to analyze why the ISO is claiming they can take our power, how much they are going to pay us, and what we are going to do about it.</w:t>
      </w:r>
    </w:p>
    <w:p>
      <w:pPr>
        <w:pStyle w:val="BodyText"/>
        <w:rPr>
          <w:b/>
          <w:sz w:val="24"/>
        </w:rPr>
      </w:pPr>
      <w:r>
        <w:rPr>
          <w:b/>
          <w:sz w:val="24"/>
        </w:rPr>
        <w:t>I.</w:t>
        <w:tab/>
        <w:t>The Motion</w:t>
      </w:r>
    </w:p>
    <w:p>
      <w:pPr>
        <w:pStyle w:val="BodyText"/>
        <w:rPr>
          <w:sz w:val="24"/>
        </w:rPr>
      </w:pPr>
      <w:r>
        <w:rPr>
          <w:sz w:val="24"/>
        </w:rPr>
        <w:t>On June 28, 2000, the Board implemented the following measures due to “market performance indicating that during high load conditions the ISO’s real-time electricity, day-ahead and hour-ahead ancillary service markets are not workably competitive:”</w:t>
      </w:r>
    </w:p>
    <w:p>
      <w:pPr>
        <w:pStyle w:val="BodyText"/>
        <w:numPr>
          <w:ilvl w:val="0"/>
          <w:numId w:val="2"/>
        </w:numPr>
        <w:rPr>
          <w:sz w:val="24"/>
        </w:rPr>
      </w:pPr>
      <w:r>
        <w:rPr>
          <w:sz w:val="24"/>
        </w:rPr>
        <w:t>Temporarily capped at $500/MWh real-time, ancillary service, and intra-zonal congestion management service rates July 1 through October 15, 2000.</w:t>
      </w:r>
    </w:p>
    <w:p>
      <w:pPr>
        <w:pStyle w:val="BodyText"/>
        <w:numPr>
          <w:ilvl w:val="0"/>
          <w:numId w:val="2"/>
        </w:numPr>
        <w:rPr>
          <w:sz w:val="24"/>
        </w:rPr>
      </w:pPr>
      <w:r>
        <w:rPr>
          <w:sz w:val="24"/>
        </w:rPr>
        <w:t>Agreed that “to the extent permitted by law, regulation and pre-existing contract” it would direct generators to bid all their capacity when system load exceeds 38,000 MW.  In other words, it would restrict Participating Generators from selling their power in other markets.</w:t>
      </w:r>
    </w:p>
    <w:p>
      <w:pPr>
        <w:pStyle w:val="BodyText"/>
        <w:numPr>
          <w:ilvl w:val="0"/>
          <w:numId w:val="2"/>
        </w:numPr>
        <w:rPr>
          <w:sz w:val="24"/>
        </w:rPr>
      </w:pPr>
      <w:r>
        <w:rPr>
          <w:sz w:val="24"/>
        </w:rPr>
        <w:t>Ordered management to work with the responsible agencies and the legislature to streamline and accelerate the construction of power plants and transmission lines and to eliminate constraints to hedging opportunities for the California utilities.</w:t>
      </w:r>
    </w:p>
    <w:p>
      <w:pPr>
        <w:pStyle w:val="BodyText"/>
        <w:rPr>
          <w:sz w:val="24"/>
        </w:rPr>
      </w:pPr>
      <w:r>
        <w:rPr>
          <w:sz w:val="24"/>
        </w:rPr>
        <w:t>A copy of the motion showing the votes is attached. The Board membership list is also attached.</w:t>
      </w:r>
    </w:p>
    <w:p>
      <w:pPr>
        <w:pStyle w:val="BodyText"/>
        <w:rPr>
          <w:b/>
          <w:sz w:val="24"/>
        </w:rPr>
      </w:pPr>
      <w:r>
        <w:rPr>
          <w:b/>
          <w:sz w:val="24"/>
        </w:rPr>
        <w:t>II.</w:t>
        <w:tab/>
        <w:t>Emergency Provisions of the Tariff</w:t>
      </w:r>
    </w:p>
    <w:p>
      <w:pPr>
        <w:pStyle w:val="BodyText"/>
        <w:rPr>
          <w:sz w:val="24"/>
        </w:rPr>
      </w:pPr>
      <w:r>
        <w:rPr>
          <w:sz w:val="24"/>
        </w:rPr>
        <w:t>Although, the Board’s motion does not cite the legal support for its decision to confiscate power and prohibit imports, it apparently relies on the System Emergency provision of the ISO’s tariff.  Section 5.6 includes the System Emergency provisions applicable to Generators owned or controlled by Participating Generators.  Section 5.6.1, provides as follows:</w:t>
      </w:r>
    </w:p>
    <w:p>
      <w:pPr>
        <w:pStyle w:val="BodyText"/>
        <w:ind w:start="720" w:end="720"/>
        <w:rPr>
          <w:sz w:val="24"/>
        </w:rPr>
      </w:pPr>
      <w:r>
        <w:rPr>
          <w:sz w:val="24"/>
        </w:rPr>
        <w:t>All generating Units and System Resources that are owned or controlled by a Participating Generator are (without limitation to the ISO’s other rights under this ISO Tariff) subject to control by the ISO during a System Emergency and in circumstances in which the ISO considers that a System Emergency is imminent or threatened.  The ISO shall, subject to Section 5.6.2, have the authority to instruct a Participating Generator to bring its Generating Unit on-line, off-line, or increase or curtail the output of the Generating Unit and to alter scheduled deliveries of Energy and Ancillary Services into or out of the ISO Controlled Grid, if such an instruction is reasonably necessary to prevent an imminent or threatened System Emergency or to retain Operation Control over the ISO Controlled Grid during an actual System Emergency.</w:t>
      </w:r>
    </w:p>
    <w:p>
      <w:pPr>
        <w:pStyle w:val="BodyText"/>
        <w:rPr>
          <w:sz w:val="24"/>
        </w:rPr>
      </w:pPr>
      <w:r>
        <w:rPr>
          <w:sz w:val="24"/>
        </w:rPr>
        <w:t>Section 5.6.2 further provides that:</w:t>
      </w:r>
    </w:p>
    <w:p>
      <w:pPr>
        <w:pStyle w:val="BodyText"/>
        <w:ind w:start="720" w:end="720"/>
        <w:rPr>
          <w:sz w:val="24"/>
        </w:rPr>
      </w:pPr>
      <w:r>
        <w:rPr>
          <w:sz w:val="24"/>
        </w:rPr>
        <w:t>the ISO shall, where reasonably practicable, utilize Ancillary Services which it has the contractual right to instruct and which are capable of contributing to containing or correcting the actual, imminent or threatened System Emergency prior to issuing instructions to a Participating Generator under Section 5.6.1.</w:t>
      </w:r>
    </w:p>
    <w:p>
      <w:pPr>
        <w:pStyle w:val="BodyText"/>
        <w:rPr>
          <w:sz w:val="24"/>
        </w:rPr>
      </w:pPr>
      <w:r>
        <w:rPr>
          <w:sz w:val="24"/>
        </w:rPr>
        <w:t xml:space="preserve">The term System Emergency is defined as:  </w:t>
      </w:r>
    </w:p>
    <w:p>
      <w:pPr>
        <w:pStyle w:val="BodyText"/>
        <w:ind w:start="720" w:end="720"/>
        <w:rPr>
          <w:sz w:val="24"/>
        </w:rPr>
      </w:pPr>
      <w:r>
        <w:rPr>
          <w:sz w:val="24"/>
        </w:rPr>
        <w:t>Conditions beyond the normal control of the ISO that affect the ability of the ISO Control Area to function normally including any abnormal system condition which requires immediate manual or automatic action to prevent loss of Load, equipment damage, or tripping of system elements which might result in cascading outages or to restore system operation to meet the minimum operating reliability criteria.</w:t>
      </w:r>
    </w:p>
    <w:p>
      <w:pPr>
        <w:pStyle w:val="BodyText"/>
        <w:ind w:end="720"/>
        <w:rPr>
          <w:sz w:val="24"/>
        </w:rPr>
      </w:pPr>
      <w:r>
        <w:rPr>
          <w:sz w:val="24"/>
        </w:rPr>
        <w:t xml:space="preserve">EPMI is a scheduling coordinator that sells power into the ancillary service market on behalf of certain generators.  EPMI signed a scheduling coordinator agreement under which EPMI was required to ensure that each generator for which it bids ancillary services entered into a generator agreement that requires the generator to comply with the ISO’s tariff </w:t>
      </w:r>
    </w:p>
    <w:p>
      <w:pPr>
        <w:pStyle w:val="BodyText"/>
        <w:rPr>
          <w:b/>
          <w:sz w:val="24"/>
        </w:rPr>
      </w:pPr>
      <w:r>
        <w:rPr>
          <w:b/>
          <w:sz w:val="24"/>
        </w:rPr>
        <w:t>III.</w:t>
        <w:tab/>
        <w:t>Recent FERC and ISO Proceedings</w:t>
      </w:r>
    </w:p>
    <w:p>
      <w:pPr>
        <w:pStyle w:val="BodyText"/>
        <w:rPr/>
      </w:pPr>
      <w:r>
        <w:rPr>
          <w:sz w:val="24"/>
        </w:rPr>
        <w:t xml:space="preserve">In its November 12, 1999 and subsequent orders, FERC gave the ISO discretion (until November 15, 2000) to lower the ancillary service price if the market is “not workably competitive.”  </w:t>
      </w:r>
      <w:r>
        <w:rPr>
          <w:rStyle w:val="FootnoteCharacters"/>
          <w:rStyle w:val="FootnoteReference"/>
          <w:sz w:val="24"/>
        </w:rPr>
        <w:footnoteReference w:id="2"/>
      </w:r>
      <w:r>
        <w:rPr>
          <w:sz w:val="24"/>
        </w:rPr>
        <w:t xml:space="preserve">  The FERC found this did not unlawfully delegate its ratemaking authority because the ISO was not setting a rate when it imposed a price cap, instead as a “purchaser” of ancillary services, it was merely setting the price it was willing to pay.  This finding is based on the flawed premise that the ISO cannot dictate its price because sellers of ancillary services and imbalance energy are not required to sell to the ISO.  It assumes that, if they are dissatisfied with the ISO’s price, they can simply sell their power in the PX or bilateral markets.  </w:t>
      </w:r>
    </w:p>
    <w:p>
      <w:pPr>
        <w:pStyle w:val="BodyText"/>
        <w:rPr>
          <w:sz w:val="24"/>
        </w:rPr>
      </w:pPr>
      <w:r>
        <w:rPr>
          <w:sz w:val="24"/>
        </w:rPr>
        <w:t xml:space="preserve">Bracewell and Patterson suggest that we challenge this finding by arguing that this assumption is now flawed due to the ISO board’s vote to prohibit exports.  They suggest three different possible regulatory forums for challenging the prohibition on imports: (1) a request for declaratory order, (2) a request for rehearing of the November 12 order, or (3) a complaint.  As discussed below, concerning the board’s vote, Williams and Western Power Trading Forum have now filed for expedited consideration of their requests for rehearing and Morgan Stanley has now filed a complaint. </w:t>
      </w:r>
    </w:p>
    <w:p>
      <w:pPr>
        <w:pStyle w:val="BodyText"/>
        <w:rPr>
          <w:sz w:val="24"/>
        </w:rPr>
      </w:pPr>
      <w:r>
        <w:rPr>
          <w:b/>
          <w:sz w:val="24"/>
        </w:rPr>
        <w:t>A.</w:t>
        <w:tab/>
        <w:t>Williams’ Request</w:t>
      </w:r>
    </w:p>
    <w:p>
      <w:pPr>
        <w:pStyle w:val="BodyText"/>
        <w:rPr>
          <w:sz w:val="24"/>
        </w:rPr>
      </w:pPr>
      <w:r>
        <w:rPr>
          <w:sz w:val="24"/>
        </w:rPr>
        <w:t xml:space="preserve">Williams asked the FERC to immediately act on its outstanding requests for rehearing of the FERC’s November 12 order.  Williams asks the FERC to stay the Cal ISO’s ability to reduce its price caps below $500.  </w:t>
      </w:r>
    </w:p>
    <w:p>
      <w:pPr>
        <w:pStyle w:val="BodyText"/>
        <w:rPr>
          <w:sz w:val="24"/>
        </w:rPr>
      </w:pPr>
      <w:r>
        <w:rPr>
          <w:sz w:val="24"/>
        </w:rPr>
        <w:t>Williams makes six arguments.  First, the ISO’s decision was political and the result of duress and was not independent.  Second, it was not based on a finding that the markets are not adequately competitive. Third, it creates uncertainty and instability and jeopardizes the building of generation in California. Fourth, reliability is at stake. Fifth, customers would not be harmed by a stay because their retail rates are frozen.  Sixth, this prohibition on exporting would violate Williams’ contracts (and the Federal Power Act) which promise to sell at the market price not $250.</w:t>
      </w:r>
    </w:p>
    <w:p>
      <w:pPr>
        <w:pStyle w:val="BodyText"/>
        <w:rPr>
          <w:sz w:val="24"/>
        </w:rPr>
      </w:pPr>
      <w:r>
        <w:rPr>
          <w:sz w:val="24"/>
        </w:rPr>
        <w:t xml:space="preserve">Unfortunately, Williams’ filing provides no independent analysis of the third and fourth points.  Instead it relies on attached articles that its pleading does not summarize or explain.  </w:t>
      </w:r>
    </w:p>
    <w:p>
      <w:pPr>
        <w:pStyle w:val="BodyText"/>
        <w:rPr>
          <w:sz w:val="24"/>
        </w:rPr>
      </w:pPr>
      <w:r>
        <w:rPr>
          <w:sz w:val="24"/>
        </w:rPr>
        <w:t>Further, Williams’ pleading does not argue that the high prices during peak periods are offset by the significantly lower prices produced by competition in the wholesale electric market.  Finally, it doesn’t talk about how the Cal ISO’s cap artificially depresses the prices in the forward market.</w:t>
      </w:r>
    </w:p>
    <w:p>
      <w:pPr>
        <w:pStyle w:val="BodyText"/>
        <w:rPr>
          <w:sz w:val="24"/>
        </w:rPr>
      </w:pPr>
      <w:r>
        <w:rPr>
          <w:sz w:val="24"/>
        </w:rPr>
        <w:t>A fundamental flaw in Williams’ pleading is that it does not argue “irreparable harm.”  FERC typically requires such a showing to grant a stay.</w:t>
      </w:r>
    </w:p>
    <w:p>
      <w:pPr>
        <w:pStyle w:val="BodyText"/>
        <w:rPr>
          <w:sz w:val="24"/>
        </w:rPr>
      </w:pPr>
      <w:r>
        <w:rPr>
          <w:sz w:val="24"/>
        </w:rPr>
        <w:t xml:space="preserve">There are several important issues raised in the attachments that are not laid out in the pleading.  Assuming the FERC staff reads this information it is very persuasive. One attachment analogizes the price caps to gas price controls. This a really good parallel to draw at FERC because gas price controls caused the FERC years of nightmares in regulating and really interfered with the gas market.  </w:t>
      </w:r>
    </w:p>
    <w:p>
      <w:pPr>
        <w:pStyle w:val="BodyText"/>
        <w:rPr>
          <w:sz w:val="24"/>
        </w:rPr>
      </w:pPr>
      <w:r>
        <w:rPr>
          <w:sz w:val="24"/>
        </w:rPr>
        <w:t>Williams does talk about how the California utilities (not retail rate payers) will be the beneficiaries of price caps because price caps will allow them to recover their stranded costs in spite of their bad judgment in agreeing to a ten percent rate rebate.  The attachments also detail how the generators (who are currently saddled with high fuel prices) will be the ones “picking up the tab” for this corporate welfare.</w:t>
      </w:r>
    </w:p>
    <w:p>
      <w:pPr>
        <w:pStyle w:val="BodyText"/>
        <w:rPr>
          <w:sz w:val="24"/>
        </w:rPr>
      </w:pPr>
      <w:r>
        <w:rPr>
          <w:sz w:val="24"/>
        </w:rPr>
        <w:t xml:space="preserve">Williams also attaches letters from legislators and state agencies wherein it is argued that the market is not competitive because demand during the heat wave was well below peak forecast and the electricity cost $1 billion for one week.  However, if the Staff reads the Clearing Up issue (also attached) it will learn that these statements are misleading given that the California ISO had declared system emergencies which means that its reserve margin was less than 7 percent and at times less than 5 percent.  </w:t>
      </w:r>
    </w:p>
    <w:p>
      <w:pPr>
        <w:pStyle w:val="BodyText"/>
        <w:rPr>
          <w:sz w:val="24"/>
        </w:rPr>
      </w:pPr>
      <w:r>
        <w:rPr>
          <w:sz w:val="24"/>
        </w:rPr>
        <w:t xml:space="preserve">Williams also didn’t address how these shortages may because caused because the utilities grossly underschedule load to drive down the price of power.  However, attachments to its pleading assert this. Williams does explain that SCE could be hedging more of its exposure by doing more forward market sales.  </w:t>
      </w:r>
    </w:p>
    <w:p>
      <w:pPr>
        <w:pStyle w:val="BodyText"/>
        <w:rPr/>
      </w:pPr>
      <w:r>
        <w:rPr>
          <w:sz w:val="24"/>
        </w:rPr>
        <w:t>A letter attached to the pleading</w:t>
      </w:r>
      <w:r>
        <w:rPr>
          <w:rStyle w:val="FootnoteCharacters"/>
          <w:rStyle w:val="FootnoteReference"/>
          <w:sz w:val="24"/>
        </w:rPr>
        <w:footnoteReference w:id="3"/>
      </w:r>
      <w:r>
        <w:rPr>
          <w:sz w:val="24"/>
        </w:rPr>
        <w:t xml:space="preserve"> also alleges that the price cap will further incent the utilities to underschedule their load.  It also asserts that prohibitions on exports in real time during a heat wave will </w:t>
      </w:r>
      <w:r>
        <w:rPr>
          <w:i/>
          <w:sz w:val="24"/>
        </w:rPr>
        <w:t>cause</w:t>
      </w:r>
      <w:r>
        <w:rPr>
          <w:sz w:val="24"/>
        </w:rPr>
        <w:t xml:space="preserve"> black outs and will subject Scheduling Coordinators to liquidated damages to non- Cal ISO counter-parties who’s deals will have to be cut to serve the ISO.  </w:t>
      </w:r>
    </w:p>
    <w:p>
      <w:pPr>
        <w:pStyle w:val="BodyText"/>
        <w:rPr>
          <w:sz w:val="24"/>
        </w:rPr>
      </w:pPr>
      <w:r>
        <w:rPr>
          <w:sz w:val="24"/>
        </w:rPr>
        <w:t>Williams does not raise the issue of the prohibition on exports.</w:t>
      </w:r>
    </w:p>
    <w:p>
      <w:pPr>
        <w:pStyle w:val="BodyText"/>
        <w:numPr>
          <w:ilvl w:val="0"/>
          <w:numId w:val="3"/>
        </w:numPr>
        <w:rPr>
          <w:sz w:val="24"/>
        </w:rPr>
      </w:pPr>
      <w:r>
        <w:rPr>
          <w:b/>
          <w:sz w:val="24"/>
        </w:rPr>
        <w:t>WPTF’s Request</w:t>
      </w:r>
    </w:p>
    <w:p>
      <w:pPr>
        <w:pStyle w:val="BodyText"/>
        <w:rPr>
          <w:sz w:val="24"/>
        </w:rPr>
      </w:pPr>
      <w:r>
        <w:rPr>
          <w:sz w:val="24"/>
        </w:rPr>
        <w:t>In addition to addressing some of the above issues, WPTF points out that the Board’s action was illogical because it will create shortage.  It also makes an argument that Bracewell advocated, specifically, that despite the reasoning of the November 12 order, the ISO retained the ability to cap the price by restricting exports.</w:t>
      </w:r>
    </w:p>
    <w:p>
      <w:pPr>
        <w:pStyle w:val="BodyText"/>
        <w:rPr>
          <w:sz w:val="24"/>
        </w:rPr>
      </w:pPr>
      <w:r>
        <w:rPr>
          <w:b/>
          <w:sz w:val="24"/>
        </w:rPr>
        <w:t>C.</w:t>
        <w:tab/>
        <w:t>Morgan Stanley Complaint</w:t>
      </w:r>
    </w:p>
    <w:p>
      <w:pPr>
        <w:pStyle w:val="BodyText"/>
        <w:rPr>
          <w:sz w:val="24"/>
        </w:rPr>
      </w:pPr>
      <w:r>
        <w:rPr>
          <w:sz w:val="24"/>
        </w:rPr>
        <w:t>Morgan Stanley’s complaint is even more general than the Williams’ pleading but it does address some of the shortcomings detailed above.  First, it attaches a letter Morgan Stanley sent to the ISO detailing how market participants who responsibly hedged some of their price and market risks have invested substantial amounts of money under the premise that the price cap would be $750/MWh.  Morgan Stanley uses such hedging mechanisms to provide a long-term, stable source of capital and liquidity, that is essential to the trading of power, the development of new power generation in California and throughout the country.  It explains how the Board’s vote injects risk into this hedging and therefore affects the stability of this source of capital.  It also explains how the increased risk produced increases the cost of investing in generation.  It also explains how these types of regulatory uncertainty may convince sources of capital to no longer participate in the California Market.  However, it does not provide any facts or analysis to back up these statements.</w:t>
      </w:r>
    </w:p>
    <w:p>
      <w:pPr>
        <w:pStyle w:val="BodyText"/>
        <w:rPr>
          <w:sz w:val="24"/>
        </w:rPr>
      </w:pPr>
      <w:r>
        <w:rPr>
          <w:sz w:val="24"/>
        </w:rPr>
        <w:t>An article by Dow Jones attached to the pleading points out that although the ISO can talk about lifting the constraints on utilities hedging outside of the Power Exchange, only the California Public Utilities Commission has that authority.  It does not mention the fact that when the ISO tried to do so this year, the legislature overruled them.</w:t>
      </w:r>
    </w:p>
    <w:p>
      <w:pPr>
        <w:pStyle w:val="BodyText"/>
        <w:rPr/>
      </w:pPr>
      <w:r>
        <w:rPr>
          <w:sz w:val="24"/>
        </w:rPr>
        <w:t>Motions to intervene are due on July 21</w:t>
      </w:r>
      <w:r>
        <w:rPr>
          <w:sz w:val="24"/>
          <w:vertAlign w:val="superscript"/>
        </w:rPr>
        <w:t>st</w:t>
      </w:r>
      <w:r>
        <w:rPr>
          <w:sz w:val="24"/>
        </w:rPr>
        <w:t xml:space="preserve"> (Friday).</w:t>
      </w:r>
    </w:p>
    <w:p>
      <w:pPr>
        <w:pStyle w:val="BodyText"/>
        <w:rPr>
          <w:b/>
          <w:sz w:val="24"/>
        </w:rPr>
      </w:pPr>
      <w:r>
        <w:rPr>
          <w:b/>
          <w:sz w:val="24"/>
        </w:rPr>
        <w:t>C.</w:t>
        <w:tab/>
        <w:t>Dynegy Letter</w:t>
      </w:r>
    </w:p>
    <w:p>
      <w:pPr>
        <w:pStyle w:val="BodyText"/>
        <w:rPr>
          <w:sz w:val="24"/>
        </w:rPr>
      </w:pPr>
      <w:r>
        <w:rPr>
          <w:sz w:val="24"/>
        </w:rPr>
        <w:t>Dynegy recently sent a letter to the ISO indicating it does not believe that the ISO can, without prior FERC approval, implement the requirement that generators offer all their capacity when system load exceeds 38,000 MW.  In support, it argues that the CPUC and the legislature have acknowledged that they cannot mandate the use of the PX for any wholesale transaction because that is a matter subject to FERC jurisdiction.  I don’t find Dynegy’s argument particularly persuasive because the ISO’s decisions are subject to FERC review and the FERC has delegated certain decisions to the ISO.  This is not the case with decisions of the CPUC and the legislature.</w:t>
      </w:r>
    </w:p>
    <w:p>
      <w:pPr>
        <w:pStyle w:val="BodyText"/>
        <w:rPr>
          <w:sz w:val="24"/>
        </w:rPr>
      </w:pPr>
      <w:r>
        <w:rPr>
          <w:sz w:val="24"/>
        </w:rPr>
        <w:t>Dynegy also challenges the 38,000 MW level, arguing that the WSCC’s seven percent reserve level should instead apply.  I’m not sure how important this distinction is given that the ISO fell below the WSCC’s reserve levels a number of times last month.</w:t>
      </w:r>
    </w:p>
    <w:p>
      <w:pPr>
        <w:pStyle w:val="BodyText"/>
        <w:rPr>
          <w:sz w:val="24"/>
        </w:rPr>
      </w:pPr>
      <w:r>
        <w:rPr>
          <w:sz w:val="24"/>
        </w:rPr>
        <w:t>It also argues that generators should not be required to sell to the ISO amounts reserved as contingent back up in the event of a forced outage.  Although the ISO’s refusal to export may cause generators to incur WSCC reliability management system penalties, I suspect this issue is a minor issue.</w:t>
      </w:r>
    </w:p>
    <w:p>
      <w:pPr>
        <w:pStyle w:val="BodyText"/>
        <w:rPr>
          <w:sz w:val="24"/>
        </w:rPr>
      </w:pPr>
      <w:r>
        <w:rPr>
          <w:b/>
          <w:sz w:val="24"/>
        </w:rPr>
        <w:t>IV.</w:t>
        <w:tab/>
        <w:t>Other proceedings</w:t>
      </w:r>
    </w:p>
    <w:p>
      <w:pPr>
        <w:pStyle w:val="BodyText"/>
        <w:rPr/>
      </w:pPr>
      <w:r>
        <w:rPr>
          <w:sz w:val="24"/>
        </w:rPr>
        <w:t>As Bracewell also pointed out, FERC is divided on the price cap issue and Commissioner Bailey’s leaving was a blow to the free market approach. Bracewell hoped the FERC’s order concerning the New York State Electric and Gas Corporation case against the New York ISO would provide some guidance.  However, this order was stricken from the agenda of the last FERC meeting. The next FERC meeting is July 26</w:t>
      </w:r>
      <w:r>
        <w:rPr>
          <w:sz w:val="24"/>
          <w:vertAlign w:val="superscript"/>
        </w:rPr>
        <w:t>th</w:t>
      </w:r>
      <w:r>
        <w:rPr>
          <w:sz w:val="24"/>
        </w:rPr>
        <w:t xml:space="preserve"> and the FERC will not post the agenda for that meeting until July 19</w:t>
      </w:r>
      <w:r>
        <w:rPr>
          <w:sz w:val="24"/>
          <w:vertAlign w:val="superscript"/>
        </w:rPr>
        <w:t>th</w:t>
      </w:r>
      <w:r>
        <w:rPr>
          <w:sz w:val="24"/>
        </w:rPr>
        <w:t xml:space="preserve">.  </w:t>
      </w:r>
    </w:p>
    <w:p>
      <w:pPr>
        <w:pStyle w:val="BodyText"/>
        <w:rPr>
          <w:sz w:val="24"/>
        </w:rPr>
      </w:pPr>
      <w:r>
        <w:rPr>
          <w:sz w:val="24"/>
        </w:rPr>
        <w:t>There is a similar proceeding wherein Nstar Services Company, (Docket No. EL00-83-000) asked for a temporary $1,000 price cap in NEPOOL.  This item was also stricken from the FERC’s last agenda.</w:t>
      </w:r>
    </w:p>
    <w:p>
      <w:pPr>
        <w:pStyle w:val="BodyText"/>
        <w:rPr>
          <w:b/>
          <w:sz w:val="24"/>
        </w:rPr>
      </w:pPr>
      <w:r>
        <w:rPr>
          <w:b/>
          <w:sz w:val="24"/>
        </w:rPr>
        <w:t>V.</w:t>
        <w:tab/>
        <w:t>Analysis</w:t>
      </w:r>
    </w:p>
    <w:p>
      <w:pPr>
        <w:pStyle w:val="BodyText"/>
        <w:rPr/>
      </w:pPr>
      <w:r>
        <w:rPr>
          <w:sz w:val="24"/>
        </w:rPr>
        <w:t>The Board’s action have harmed EPMI economically in the following ways: (1) driven down prices in the ISO’s market, (2) driven down prices in the forward market (over which the ISO has no jurisdiction), (3) subjected EPMI to the risk of having to pay liquidated damages to non- ISO counterparties who’s deals will have to be cut to serve the ISO,</w:t>
      </w:r>
      <w:r>
        <w:rPr>
          <w:rStyle w:val="FootnoteCharacters"/>
          <w:rStyle w:val="FootnoteReference"/>
          <w:sz w:val="24"/>
        </w:rPr>
        <w:footnoteReference w:id="4"/>
      </w:r>
      <w:r>
        <w:rPr>
          <w:sz w:val="24"/>
        </w:rPr>
        <w:t xml:space="preserve"> and (4) injected regulatory risk into EPMI’s generation project development in California.</w:t>
      </w:r>
    </w:p>
    <w:p>
      <w:pPr>
        <w:pStyle w:val="BodyText"/>
        <w:rPr>
          <w:sz w:val="24"/>
        </w:rPr>
      </w:pPr>
      <w:r>
        <w:rPr>
          <w:sz w:val="24"/>
        </w:rPr>
        <w:t xml:space="preserve">All of these harms have been discussed in a general fashion in the above-discussed pleadings and most of the legal issues have been raised.  With respect to these pleadings, we could file a pleading indicating simply that we agree with the positions taken therein.  </w:t>
      </w:r>
    </w:p>
    <w:p>
      <w:pPr>
        <w:pStyle w:val="BodyText"/>
        <w:rPr>
          <w:sz w:val="24"/>
        </w:rPr>
      </w:pPr>
      <w:r>
        <w:rPr>
          <w:sz w:val="24"/>
        </w:rPr>
        <w:t>If we wanted to be extra risk averse we could also provide the evidentiary support lacking from the filings discussed above.  For example, we could file the proof showing how the $500 price will harm the California market and undermine efforts to build generation there. However, correcting the evidentiary problems with these pleadings would be very time consuming and expensive. Aside from correcting the above-discussed “nit-picky” procedural problems, the pleadings give the FERC plenty of reasons to allow it to undo the Board’s action if it wants to. Accordingly, I’m not sure such a pleading would have much value to EPMI.  Further, if the FERC decides some of these cases at its next meeting, our pleading may be rendered moot. On the other hand, if the Board’s action has a high cost to EPMI, it may be worth spending a few more advocacy dollars.</w:t>
      </w:r>
    </w:p>
    <w:p>
      <w:pPr>
        <w:pStyle w:val="BodyText"/>
        <w:rPr>
          <w:sz w:val="24"/>
        </w:rPr>
      </w:pPr>
      <w:r>
        <w:rPr>
          <w:sz w:val="24"/>
        </w:rPr>
        <w:t>Another reason to file a pleading with FERC might be to point out better alternatives than price caps to fix the price spike problem.  For example, we may want to advocate some way to require the utilities to more accurately forecast their load.  If viewed favorably by the FERC, this approach would have the concurrent benefit of resolving some of EPMI’s other problems with the ISO market.  However, I suspect the FERC will continue to defer to the ISO for alternative resolutions to the price spike problem resulting from the stakeholder process.</w:t>
      </w:r>
    </w:p>
    <w:p>
      <w:pPr>
        <w:pStyle w:val="BodyText"/>
        <w:ind w:end="720"/>
        <w:rPr/>
      </w:pPr>
      <w:r>
        <w:rPr>
          <w:sz w:val="24"/>
        </w:rPr>
        <w:t>I thought of one legal argument that has not been raised.  The System Emergency tariff provision looks broad enough to allow the ISO to prohibit exports. However, we could challenge the ISO’s use of this authority here because under the definition of System Emergency, a System Emergency must be b</w:t>
      </w:r>
      <w:r>
        <w:rPr>
          <w:i/>
          <w:sz w:val="24"/>
        </w:rPr>
        <w:t>eyond the normal control</w:t>
      </w:r>
      <w:r>
        <w:rPr>
          <w:sz w:val="24"/>
        </w:rPr>
        <w:t xml:space="preserve"> of the ISO whereas the ISO’s price cap may actually </w:t>
      </w:r>
      <w:r>
        <w:rPr>
          <w:i/>
          <w:sz w:val="24"/>
        </w:rPr>
        <w:t>create</w:t>
      </w:r>
      <w:r>
        <w:rPr>
          <w:sz w:val="24"/>
        </w:rPr>
        <w:t xml:space="preserve"> the System Emergency by discouraging participation in the market.  This argument was not made in the above pleadings.  </w:t>
      </w:r>
    </w:p>
    <w:p>
      <w:pPr>
        <w:pStyle w:val="BodyText"/>
        <w:rPr>
          <w:sz w:val="24"/>
        </w:rPr>
      </w:pPr>
      <w:r>
        <w:rPr>
          <w:sz w:val="24"/>
        </w:rPr>
        <w:t>In general, as an issue, FERC is aware of the exposure generators have to being required to pay liquidated damages to counter-parties.  It has ordered the New England ISO to address this problem.  Since, no party in the California ISO cases has argued that they are entitled to such a remedy, we may want to raise this issue if we want to guarantee that it is before the FERC in the case of the Cal ISO.  However, I don’t think it would be too late to raise this issue later.</w:t>
      </w:r>
    </w:p>
    <w:p>
      <w:pPr>
        <w:pStyle w:val="BodyText"/>
        <w:rPr>
          <w:sz w:val="24"/>
        </w:rPr>
      </w:pPr>
      <w:r>
        <w:rPr>
          <w:sz w:val="24"/>
        </w:rPr>
        <w:t>I do not find Morgan Stanley’s argument, that it relied on the $750 price cap, to be persuasive given that one of the FERC’s orders on the price cap specifically gave the ISO authority and flexibility to lower the cap.</w:t>
      </w:r>
    </w:p>
    <w:p>
      <w:pPr>
        <w:pStyle w:val="BodyText"/>
        <w:rPr>
          <w:sz w:val="24"/>
        </w:rPr>
      </w:pPr>
      <w:r>
        <w:rPr>
          <w:sz w:val="24"/>
        </w:rPr>
        <w:t>No pleading challenged Edison’s conflict of interest in voting to approve lowering the price cap.  The Bracewell memo suggested that we mount this legal challenge, arguing that SCE violated a Board member’s duty of care. While this point would serve as another basis for showing that the California ISO is not independent, I’m not sure whether we would otherwise have standing to challenge this issue and whether FERC is the proper venue.  Specifically, actions concerning Board’s duty of care are usually brought by Stockholders before courts in stockholder derivative suits.  We are not ISO stockholders, this is not a derivative suit, and FERC is not a Court.</w:t>
      </w:r>
    </w:p>
    <w:p>
      <w:pPr>
        <w:pStyle w:val="BodyText"/>
        <w:rPr>
          <w:sz w:val="24"/>
        </w:rPr>
      </w:pPr>
      <w:r>
        <w:rPr>
          <w:sz w:val="24"/>
        </w:rPr>
        <w:t>I assume that legal is reviewing legal alternatives but have not had the opportunity to talk to compare their options to the regulatory options listed above.</w:t>
      </w:r>
    </w:p>
    <w:p>
      <w:pPr>
        <w:pStyle w:val="BodyText"/>
        <w:rPr>
          <w:sz w:val="24"/>
        </w:rPr>
      </w:pPr>
      <w:r>
        <w:rPr>
          <w:sz w:val="24"/>
        </w:rPr>
      </w:r>
    </w:p>
    <w:p>
      <w:pPr>
        <w:pStyle w:val="BodyText"/>
        <w:rPr>
          <w:b/>
          <w:sz w:val="24"/>
        </w:rPr>
      </w:pPr>
      <w:r>
        <w:rPr>
          <w:b/>
          <w:sz w:val="24"/>
        </w:rPr>
      </w:r>
    </w:p>
    <w:p>
      <w:pPr>
        <w:pStyle w:val="BodyText"/>
        <w:rPr/>
      </w:pPr>
      <w:r>
        <w:rPr/>
        <w:t>mch/mch</w:t>
      </w:r>
    </w:p>
    <w:p>
      <w:pPr>
        <w:pStyle w:val="BodyText"/>
        <w:jc w:val="center"/>
        <w:rPr/>
      </w:pPr>
      <w:r>
        <w:rPr/>
        <w:t>Attachment</w:t>
      </w:r>
    </w:p>
    <w:tbl>
      <w:tblPr>
        <w:tblW w:w="11520" w:type="dxa"/>
        <w:jc w:val="start"/>
        <w:tblInd w:w="75" w:type="dxa"/>
        <w:tblLayout w:type="fixed"/>
        <w:tblCellMar>
          <w:top w:w="0" w:type="dxa"/>
          <w:start w:w="75" w:type="dxa"/>
          <w:bottom w:w="0" w:type="dxa"/>
          <w:end w:w="75" w:type="dxa"/>
        </w:tblCellMar>
      </w:tblPr>
      <w:tblGrid>
        <w:gridCol w:w="4262"/>
        <w:gridCol w:w="7258"/>
      </w:tblGrid>
      <w:tr>
        <w:trPr/>
        <w:tc>
          <w:tcPr>
            <w:tcW w:w="4262" w:type="dxa"/>
            <w:tcBorders/>
          </w:tcPr>
          <w:p>
            <w:pPr>
              <w:pStyle w:val="Normal"/>
              <w:rPr>
                <w:rFonts w:ascii="Arial" w:hAnsi="Arial" w:cs="Arial"/>
                <w:b/>
              </w:rPr>
            </w:pPr>
            <w:r>
              <w:rPr>
                <w:rFonts w:cs="Arial" w:ascii="Arial" w:hAnsi="Arial"/>
                <w:b/>
              </w:rPr>
              <w:t>Board of Governors</w:t>
            </w:r>
          </w:p>
        </w:tc>
        <w:tc>
          <w:tcPr>
            <w:tcW w:w="7258" w:type="dxa"/>
            <w:tcBorders/>
          </w:tcPr>
          <w:p>
            <w:pPr>
              <w:pStyle w:val="Normal"/>
              <w:rPr>
                <w:rFonts w:ascii="Arial" w:hAnsi="Arial" w:cs="Arial"/>
                <w:b/>
              </w:rPr>
            </w:pPr>
            <w:r>
              <w:rPr>
                <w:rFonts w:cs="Arial" w:ascii="Arial" w:hAnsi="Arial"/>
                <w:b/>
              </w:rPr>
              <w:t>Motion on Price Caps – 2</w:t>
            </w:r>
          </w:p>
        </w:tc>
        <w:tc>
          <w:tcPr>
            <w:tcW w:w="0" w:type="dxa"/>
            <w:vMerge w:val="continue"/>
            <w:tcBorders/>
          </w:tcPr>
          <w:p>
            <w:pPr>
              <w:pStyle w:val="Normal"/>
              <w:snapToGrid w:val="false"/>
              <w:rPr/>
            </w:pPr>
            <w:r>
              <w:rPr/>
            </w:r>
          </w:p>
        </w:tc>
      </w:tr>
    </w:tbl>
    <w:p>
      <w:pPr>
        <w:pStyle w:val="Normal"/>
        <w:rPr>
          <w:rFonts w:ascii="Arial Narrow" w:hAnsi="Arial Narrow" w:cs="Arial Narrow"/>
          <w:b/>
        </w:rPr>
      </w:pPr>
      <w:r>
        <w:rPr>
          <w:rFonts w:cs="Arial Narrow" w:ascii="Arial Narrow" w:hAnsi="Arial Narrow"/>
          <w:b/>
        </w:rPr>
        <w:t>Moved that,</w:t>
      </w:r>
    </w:p>
    <w:p>
      <w:pPr>
        <w:pStyle w:val="Normal"/>
        <w:rPr>
          <w:rFonts w:ascii="Arial Narrow" w:hAnsi="Arial Narrow" w:cs="Arial Narrow"/>
          <w:b/>
        </w:rPr>
      </w:pPr>
      <w:r>
        <w:rPr>
          <w:rFonts w:cs="Arial Narrow" w:ascii="Arial Narrow" w:hAnsi="Arial Narrow"/>
          <w:b/>
        </w:rPr>
        <w:t>In response to market performance indicating that during high load conditions the California Independent System Operator’s real-time electricity, day-ahead and hour-ahead ancillary service markets are not workably competitive, the Board instructs ISO management to</w:t>
      </w:r>
    </w:p>
    <w:p>
      <w:pPr>
        <w:pStyle w:val="Normal"/>
        <w:tabs>
          <w:tab w:val="left" w:pos="720" w:leader="none"/>
        </w:tabs>
        <w:ind w:hanging="360" w:start="720" w:end="0"/>
        <w:rPr/>
      </w:pPr>
      <w:r>
        <w:rPr>
          <w:rFonts w:cs="Arial Narrow" w:ascii="Arial Narrow" w:hAnsi="Arial Narrow"/>
          <w:b/>
        </w:rPr>
        <w:t>1.</w:t>
        <w:tab/>
        <w:t xml:space="preserve">Investigate the factors contributing to the </w:t>
      </w:r>
      <w:r>
        <w:rPr>
          <w:rFonts w:cs="Arial Narrow" w:ascii="Arial Narrow" w:hAnsi="Arial Narrow"/>
          <w:b/>
          <w:color w:val="FF0000"/>
        </w:rPr>
        <w:t>lack of a</w:t>
      </w:r>
      <w:r>
        <w:rPr>
          <w:rFonts w:cs="Arial Narrow" w:ascii="Arial Narrow" w:hAnsi="Arial Narrow"/>
          <w:b/>
        </w:rPr>
        <w:t xml:space="preserve"> workably competitive </w:t>
      </w:r>
      <w:r>
        <w:rPr>
          <w:rFonts w:cs="Arial Narrow" w:ascii="Arial Narrow" w:hAnsi="Arial Narrow"/>
          <w:b/>
          <w:color w:val="FF0000"/>
        </w:rPr>
        <w:t>market</w:t>
      </w:r>
      <w:r>
        <w:rPr>
          <w:rFonts w:cs="Arial Narrow" w:ascii="Arial Narrow" w:hAnsi="Arial Narrow"/>
          <w:b/>
        </w:rPr>
        <w:t xml:space="preserve">, and identify the changes in market rules and operations which will eliminate the need for market price caps. </w:t>
      </w:r>
    </w:p>
    <w:p>
      <w:pPr>
        <w:pStyle w:val="Normal"/>
        <w:tabs>
          <w:tab w:val="left" w:pos="720" w:leader="none"/>
        </w:tabs>
        <w:ind w:hanging="360" w:start="720" w:end="0"/>
        <w:rPr/>
      </w:pPr>
      <w:r>
        <w:rPr>
          <w:rFonts w:cs="Arial Narrow" w:ascii="Arial Narrow" w:hAnsi="Arial Narrow"/>
          <w:b/>
        </w:rPr>
        <w:t>2.</w:t>
        <w:tab/>
        <w:t>Temporarily reduce caps in the ISO real-time, ancillary services (Regulation Up, Regulation Down, Spinning Reserve, Non-spinning Reserve and Replacement Reserve), and intra-zonal congestion management from +/-$750 to +/-$</w:t>
      </w:r>
      <w:r>
        <w:rPr>
          <w:rFonts w:cs="Arial Narrow" w:ascii="Arial Narrow" w:hAnsi="Arial Narrow"/>
          <w:b/>
          <w:color w:val="FF0000"/>
        </w:rPr>
        <w:t>500</w:t>
      </w:r>
      <w:r>
        <w:rPr>
          <w:rFonts w:cs="Arial Narrow" w:ascii="Arial Narrow" w:hAnsi="Arial Narrow"/>
          <w:b/>
        </w:rPr>
        <w:t xml:space="preserve"> effective July 1, 2000 through October 15, 2000, provided</w:t>
      </w:r>
    </w:p>
    <w:p>
      <w:pPr>
        <w:pStyle w:val="Normal"/>
        <w:tabs>
          <w:tab w:val="clear" w:pos="720"/>
          <w:tab w:val="left" w:pos="1440" w:leader="none"/>
        </w:tabs>
        <w:ind w:hanging="360" w:start="1440" w:end="0"/>
        <w:rPr>
          <w:rFonts w:ascii="Arial Narrow" w:hAnsi="Arial Narrow" w:cs="Arial Narrow"/>
          <w:b/>
        </w:rPr>
      </w:pPr>
      <w:r>
        <w:rPr>
          <w:rFonts w:cs="Arial Narrow" w:ascii="Arial Narrow" w:hAnsi="Arial Narrow"/>
          <w:b/>
        </w:rPr>
        <w:t>a.</w:t>
        <w:tab/>
        <w:t xml:space="preserve">The Board recognizes that this adjustment in the price cap may lead to difficulties meeting summer 2000 loads and that such difficulties could constitute a basis for an emergency Board of Governors Meeting; </w:t>
      </w:r>
    </w:p>
    <w:p>
      <w:pPr>
        <w:pStyle w:val="Normal"/>
        <w:tabs>
          <w:tab w:val="clear" w:pos="720"/>
          <w:tab w:val="left" w:pos="1440" w:leader="none"/>
        </w:tabs>
        <w:ind w:hanging="360" w:start="1440" w:end="0"/>
        <w:rPr>
          <w:rFonts w:ascii="Arial Narrow" w:hAnsi="Arial Narrow" w:cs="Arial Narrow"/>
          <w:b/>
        </w:rPr>
      </w:pPr>
      <w:r>
        <w:rPr>
          <w:rFonts w:cs="Arial Narrow" w:ascii="Arial Narrow" w:hAnsi="Arial Narrow"/>
          <w:b/>
        </w:rPr>
        <w:t>b.</w:t>
        <w:tab/>
        <w:t xml:space="preserve">The two summer 2000 trial load programs will be exempted from this change in price caps; </w:t>
      </w:r>
    </w:p>
    <w:p>
      <w:pPr>
        <w:pStyle w:val="Normal"/>
        <w:tabs>
          <w:tab w:val="clear" w:pos="720"/>
          <w:tab w:val="left" w:pos="1440" w:leader="none"/>
        </w:tabs>
        <w:ind w:hanging="360" w:start="1440" w:end="0"/>
        <w:rPr>
          <w:rFonts w:ascii="Arial Narrow" w:hAnsi="Arial Narrow" w:cs="Arial Narrow"/>
          <w:b/>
        </w:rPr>
      </w:pPr>
      <w:r>
        <w:rPr>
          <w:rFonts w:cs="Arial Narrow" w:ascii="Arial Narrow" w:hAnsi="Arial Narrow"/>
          <w:b/>
        </w:rPr>
        <w:t>c.</w:t>
        <w:tab/>
        <w:t xml:space="preserve">Management shall work with the responsible agencies and the legislature to streamline and accelerate the construction of power plants and transmission lines and to eliminate constraints to hedging opportunities for the UDC's; </w:t>
      </w:r>
    </w:p>
    <w:p>
      <w:pPr>
        <w:pStyle w:val="Normal"/>
        <w:tabs>
          <w:tab w:val="clear" w:pos="720"/>
          <w:tab w:val="left" w:pos="1440" w:leader="none"/>
        </w:tabs>
        <w:ind w:hanging="360" w:start="1440" w:end="0"/>
        <w:rPr>
          <w:rFonts w:ascii="Arial Narrow" w:hAnsi="Arial Narrow" w:cs="Arial Narrow"/>
          <w:b/>
        </w:rPr>
      </w:pPr>
      <w:r>
        <w:rPr>
          <w:rFonts w:cs="Arial Narrow" w:ascii="Arial Narrow" w:hAnsi="Arial Narrow"/>
          <w:b/>
        </w:rPr>
        <w:t>d.</w:t>
        <w:tab/>
        <w:t xml:space="preserve">Management shall urge generation and load to explore opportunities to enter into forward contracts; </w:t>
      </w:r>
    </w:p>
    <w:p>
      <w:pPr>
        <w:pStyle w:val="Normal"/>
        <w:tabs>
          <w:tab w:val="clear" w:pos="720"/>
          <w:tab w:val="left" w:pos="1440" w:leader="none"/>
        </w:tabs>
        <w:ind w:hanging="360" w:start="1440" w:end="0"/>
        <w:rPr>
          <w:rFonts w:ascii="Arial Narrow" w:hAnsi="Arial Narrow" w:cs="Arial Narrow"/>
          <w:b/>
        </w:rPr>
      </w:pPr>
      <w:r>
        <w:rPr>
          <w:rFonts w:cs="Arial Narrow" w:ascii="Arial Narrow" w:hAnsi="Arial Narrow"/>
          <w:b/>
        </w:rPr>
        <w:t>e.</w:t>
        <w:tab/>
        <w:t xml:space="preserve">Management shall reduce its purchases of replacement reserves and cap capacity payments at $100; </w:t>
      </w:r>
    </w:p>
    <w:p>
      <w:pPr>
        <w:pStyle w:val="Normal"/>
        <w:tabs>
          <w:tab w:val="clear" w:pos="720"/>
          <w:tab w:val="left" w:pos="1440" w:leader="none"/>
        </w:tabs>
        <w:ind w:hanging="360" w:start="1440" w:end="0"/>
        <w:rPr/>
      </w:pPr>
      <w:r>
        <w:rPr>
          <w:rFonts w:cs="Arial Narrow" w:ascii="Arial Narrow" w:hAnsi="Arial Narrow"/>
          <w:b/>
        </w:rPr>
        <w:t>f.</w:t>
        <w:tab/>
        <w:t xml:space="preserve">To the extent permitted by </w:t>
      </w:r>
      <w:r>
        <w:rPr>
          <w:rFonts w:cs="Arial Narrow" w:ascii="Arial Narrow" w:hAnsi="Arial Narrow"/>
          <w:b/>
          <w:color w:val="0000FF"/>
        </w:rPr>
        <w:t>law, regulation and pre-existing contract</w:t>
      </w:r>
      <w:r>
        <w:rPr>
          <w:rFonts w:cs="Arial Narrow" w:ascii="Arial Narrow" w:hAnsi="Arial Narrow"/>
          <w:b/>
        </w:rPr>
        <w:t xml:space="preserve">, Management shall direct generators to bid in all their capacity when system load exceeds 38,000 MW </w:t>
      </w:r>
    </w:p>
    <w:p>
      <w:pPr>
        <w:pStyle w:val="Normal"/>
        <w:tabs>
          <w:tab w:val="left" w:pos="720" w:leader="none"/>
        </w:tabs>
        <w:ind w:hanging="360" w:start="720" w:end="0"/>
        <w:rPr>
          <w:rFonts w:ascii="Arial Narrow" w:hAnsi="Arial Narrow" w:cs="Arial Narrow"/>
          <w:b/>
        </w:rPr>
      </w:pPr>
      <w:r>
        <w:rPr>
          <w:rFonts w:cs="Arial Narrow" w:ascii="Arial Narrow" w:hAnsi="Arial Narrow"/>
          <w:b/>
        </w:rPr>
        <w:t>1.</w:t>
        <w:tab/>
        <w:t>Report at the September ISO Board meeting</w:t>
      </w:r>
    </w:p>
    <w:p>
      <w:pPr>
        <w:pStyle w:val="Normal"/>
        <w:tabs>
          <w:tab w:val="clear" w:pos="720"/>
          <w:tab w:val="left" w:pos="2160" w:leader="none"/>
        </w:tabs>
        <w:ind w:hanging="360" w:start="2160" w:end="0"/>
        <w:rPr>
          <w:rFonts w:ascii="Arial Narrow" w:hAnsi="Arial Narrow" w:cs="Arial Narrow"/>
          <w:b/>
        </w:rPr>
      </w:pPr>
      <w:r>
        <w:rPr>
          <w:rFonts w:cs="Arial Narrow" w:ascii="Arial Narrow" w:hAnsi="Arial Narrow"/>
          <w:b/>
        </w:rPr>
        <w:t>a.</w:t>
        <w:tab/>
        <w:t xml:space="preserve">proposals for changes in market rules and operations that would eliminate the need for market price caps, and </w:t>
      </w:r>
    </w:p>
    <w:p>
      <w:pPr>
        <w:pStyle w:val="Normal"/>
        <w:tabs>
          <w:tab w:val="clear" w:pos="720"/>
          <w:tab w:val="left" w:pos="2160" w:leader="none"/>
        </w:tabs>
        <w:ind w:hanging="360" w:start="2160" w:end="0"/>
        <w:rPr/>
      </w:pPr>
      <w:r>
        <w:rPr/>
        <w:t>b.</w:t>
        <w:tab/>
        <w:t>the level of price caps until such changes can be implemented.</w:t>
      </w:r>
    </w:p>
    <w:tbl>
      <w:tblPr>
        <w:tblW w:w="9437" w:type="dxa"/>
        <w:jc w:val="start"/>
        <w:tblInd w:w="15" w:type="dxa"/>
        <w:tblLayout w:type="fixed"/>
        <w:tblCellMar>
          <w:top w:w="0" w:type="dxa"/>
          <w:start w:w="15" w:type="dxa"/>
          <w:bottom w:w="0" w:type="dxa"/>
          <w:end w:w="15" w:type="dxa"/>
        </w:tblCellMar>
      </w:tblPr>
      <w:tblGrid>
        <w:gridCol w:w="1016"/>
        <w:gridCol w:w="599"/>
        <w:gridCol w:w="1032"/>
        <w:gridCol w:w="503"/>
        <w:gridCol w:w="1260"/>
        <w:gridCol w:w="450"/>
        <w:gridCol w:w="1194"/>
        <w:gridCol w:w="450"/>
        <w:gridCol w:w="900"/>
        <w:gridCol w:w="810"/>
        <w:gridCol w:w="624"/>
        <w:gridCol w:w="599"/>
      </w:tblGrid>
      <w:tr>
        <w:trPr/>
        <w:tc>
          <w:tcPr>
            <w:tcW w:w="9437" w:type="dxa"/>
            <w:gridSpan w:val="12"/>
            <w:tcBorders/>
          </w:tcPr>
          <w:p>
            <w:pPr>
              <w:pStyle w:val="Normal"/>
              <w:rPr/>
            </w:pPr>
            <w:r>
              <w:rPr>
                <w:rFonts w:cs="Arial" w:ascii="Arial" w:hAnsi="Arial"/>
              </w:rPr>
              <w:t xml:space="preserve">Moved: </w:t>
            </w:r>
            <w:r>
              <w:rPr>
                <w:rFonts w:cs="Arial" w:ascii="Arial" w:hAnsi="Arial"/>
                <w:b/>
              </w:rPr>
              <w:t>Ferrara</w:t>
            </w:r>
            <w:r>
              <w:rPr>
                <w:rFonts w:cs="Arial" w:ascii="Arial" w:hAnsi="Arial"/>
              </w:rPr>
              <w:t xml:space="preserve"> Second: </w:t>
            </w:r>
            <w:r>
              <w:rPr>
                <w:rFonts w:cs="Arial" w:ascii="Arial" w:hAnsi="Arial"/>
                <w:b/>
              </w:rPr>
              <w:t>Kehrein</w:t>
            </w:r>
            <w:r>
              <w:rPr>
                <w:rFonts w:cs="Arial" w:ascii="Arial" w:hAnsi="Arial"/>
              </w:rPr>
              <w:t xml:space="preserve"> Board Action:</w:t>
            </w:r>
            <w:r>
              <w:rPr>
                <w:rFonts w:cs="Arial" w:ascii="Arial" w:hAnsi="Arial"/>
                <w:b/>
              </w:rPr>
              <w:t xml:space="preserve"> Passed </w:t>
            </w:r>
            <w:r>
              <w:rPr>
                <w:rFonts w:cs="Arial" w:ascii="Arial" w:hAnsi="Arial"/>
              </w:rPr>
              <w:t>Vote Count:</w:t>
            </w:r>
            <w:r>
              <w:rPr>
                <w:rFonts w:cs="Arial" w:ascii="Arial" w:hAnsi="Arial"/>
                <w:b/>
              </w:rPr>
              <w:t xml:space="preserve"> 16-4-4</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r>
      <w:tr>
        <w:trPr/>
        <w:tc>
          <w:tcPr>
            <w:tcW w:w="1016" w:type="dxa"/>
            <w:tcBorders/>
          </w:tcPr>
          <w:p>
            <w:pPr>
              <w:pStyle w:val="Normal"/>
              <w:snapToGrid w:val="false"/>
              <w:jc w:val="center"/>
              <w:rPr/>
            </w:pPr>
            <w:r>
              <w:rPr/>
            </w:r>
          </w:p>
        </w:tc>
        <w:tc>
          <w:tcPr>
            <w:tcW w:w="599" w:type="dxa"/>
            <w:tcBorders/>
          </w:tcPr>
          <w:p>
            <w:pPr>
              <w:pStyle w:val="Normal"/>
              <w:jc w:val="center"/>
              <w:rPr>
                <w:rFonts w:ascii="Arial" w:hAnsi="Arial" w:cs="Arial"/>
                <w:b/>
              </w:rPr>
            </w:pPr>
            <w:r>
              <w:rPr>
                <w:rFonts w:cs="Arial" w:ascii="Arial" w:hAnsi="Arial"/>
                <w:b/>
              </w:rPr>
              <w:t>B</w:t>
            </w:r>
          </w:p>
        </w:tc>
        <w:tc>
          <w:tcPr>
            <w:tcW w:w="1032" w:type="dxa"/>
            <w:tcBorders/>
          </w:tcPr>
          <w:p>
            <w:pPr>
              <w:pStyle w:val="Normal"/>
              <w:snapToGrid w:val="false"/>
              <w:jc w:val="center"/>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503" w:type="dxa"/>
            <w:tcBorders/>
          </w:tcPr>
          <w:p>
            <w:pPr>
              <w:pStyle w:val="Normal"/>
              <w:jc w:val="center"/>
              <w:rPr>
                <w:rFonts w:ascii="Arial" w:hAnsi="Arial" w:cs="Arial"/>
                <w:b/>
              </w:rPr>
            </w:pPr>
            <w:r>
              <w:rPr>
                <w:rFonts w:cs="Arial" w:ascii="Arial" w:hAnsi="Arial"/>
                <w:b/>
              </w:rPr>
              <w:t>B</w:t>
            </w:r>
          </w:p>
        </w:tc>
        <w:tc>
          <w:tcPr>
            <w:tcW w:w="1260" w:type="dxa"/>
            <w:tcBorders/>
          </w:tcPr>
          <w:p>
            <w:pPr>
              <w:pStyle w:val="Normal"/>
              <w:snapToGrid w:val="false"/>
              <w:jc w:val="center"/>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jc w:val="center"/>
              <w:rPr>
                <w:rFonts w:ascii="Arial" w:hAnsi="Arial" w:cs="Arial"/>
                <w:b/>
              </w:rPr>
            </w:pPr>
            <w:r>
              <w:rPr>
                <w:rFonts w:cs="Arial" w:ascii="Arial" w:hAnsi="Arial"/>
                <w:b/>
              </w:rPr>
              <w:t>B</w:t>
            </w:r>
          </w:p>
        </w:tc>
        <w:tc>
          <w:tcPr>
            <w:tcW w:w="0" w:type="dxa"/>
            <w:vMerge w:val="continue"/>
            <w:tcBorders/>
          </w:tcPr>
          <w:p>
            <w:pPr>
              <w:pStyle w:val="Normal"/>
              <w:snapToGrid w:val="false"/>
              <w:rPr/>
            </w:pPr>
            <w:r>
              <w:rPr/>
            </w:r>
          </w:p>
        </w:tc>
        <w:tc>
          <w:tcPr>
            <w:tcW w:w="1194" w:type="dxa"/>
            <w:tcBorders/>
          </w:tcPr>
          <w:p>
            <w:pPr>
              <w:pStyle w:val="Normal"/>
              <w:snapToGrid w:val="false"/>
              <w:jc w:val="center"/>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jc w:val="center"/>
              <w:rPr>
                <w:rFonts w:ascii="Arial" w:hAnsi="Arial" w:cs="Arial"/>
                <w:b/>
              </w:rPr>
            </w:pPr>
            <w:r>
              <w:rPr>
                <w:rFonts w:cs="Arial" w:ascii="Arial" w:hAnsi="Arial"/>
                <w:b/>
              </w:rPr>
              <w:t>B</w:t>
            </w:r>
          </w:p>
        </w:tc>
        <w:tc>
          <w:tcPr>
            <w:tcW w:w="900" w:type="dxa"/>
            <w:tcBorders/>
          </w:tcPr>
          <w:p>
            <w:pPr>
              <w:pStyle w:val="Normal"/>
              <w:snapToGrid w:val="false"/>
              <w:jc w:val="center"/>
              <w:rPr/>
            </w:pPr>
            <w:r>
              <w:rPr/>
            </w:r>
          </w:p>
        </w:tc>
        <w:tc>
          <w:tcPr>
            <w:tcW w:w="810" w:type="dxa"/>
            <w:tcBorders/>
          </w:tcPr>
          <w:p>
            <w:pPr>
              <w:pStyle w:val="Normal"/>
              <w:jc w:val="center"/>
              <w:rPr>
                <w:rFonts w:ascii="Arial" w:hAnsi="Arial" w:cs="Arial"/>
                <w:b/>
              </w:rPr>
            </w:pPr>
            <w:r>
              <w:rPr>
                <w:rFonts w:cs="Arial" w:ascii="Arial" w:hAnsi="Arial"/>
                <w:b/>
              </w:rPr>
              <w:t>B</w:t>
            </w:r>
          </w:p>
        </w:tc>
        <w:tc>
          <w:tcPr>
            <w:tcW w:w="624" w:type="dxa"/>
            <w:tcBorders/>
          </w:tcPr>
          <w:p>
            <w:pPr>
              <w:pStyle w:val="Normal"/>
              <w:snapToGrid w:val="false"/>
              <w:jc w:val="center"/>
              <w:rPr/>
            </w:pPr>
            <w:r>
              <w:rPr/>
            </w:r>
          </w:p>
        </w:tc>
        <w:tc>
          <w:tcPr>
            <w:tcW w:w="599" w:type="dxa"/>
            <w:tcBorders/>
          </w:tcPr>
          <w:p>
            <w:pPr>
              <w:pStyle w:val="Normal"/>
              <w:jc w:val="center"/>
              <w:rPr>
                <w:rFonts w:ascii="Arial" w:hAnsi="Arial" w:cs="Arial"/>
                <w:b/>
              </w:rPr>
            </w:pPr>
            <w:r>
              <w:rPr>
                <w:rFonts w:cs="Arial" w:ascii="Arial" w:hAnsi="Arial"/>
                <w:b/>
              </w:rPr>
              <w:t>B</w:t>
            </w:r>
          </w:p>
        </w:tc>
      </w:tr>
      <w:tr>
        <w:trPr/>
        <w:tc>
          <w:tcPr>
            <w:tcW w:w="1016" w:type="dxa"/>
            <w:tcBorders/>
          </w:tcPr>
          <w:p>
            <w:pPr>
              <w:pStyle w:val="Normal"/>
              <w:rPr>
                <w:rFonts w:ascii="Arial" w:hAnsi="Arial" w:cs="Arial"/>
              </w:rPr>
            </w:pPr>
            <w:r>
              <w:rPr>
                <w:rFonts w:cs="Arial" w:ascii="Arial" w:hAnsi="Arial"/>
              </w:rPr>
              <w:t>Barkovich</w:t>
            </w:r>
          </w:p>
        </w:tc>
        <w:tc>
          <w:tcPr>
            <w:tcW w:w="599" w:type="dxa"/>
            <w:tcBorders/>
          </w:tcPr>
          <w:p>
            <w:pPr>
              <w:pStyle w:val="Normal"/>
              <w:rPr>
                <w:rFonts w:ascii="Arial" w:hAnsi="Arial" w:cs="Arial"/>
              </w:rPr>
            </w:pPr>
            <w:r>
              <w:rPr>
                <w:rFonts w:cs="Arial" w:ascii="Arial" w:hAnsi="Arial"/>
              </w:rPr>
              <w:t>A</w:t>
            </w:r>
          </w:p>
        </w:tc>
        <w:tc>
          <w:tcPr>
            <w:tcW w:w="1032" w:type="dxa"/>
            <w:tcBorders/>
          </w:tcPr>
          <w:p>
            <w:pPr>
              <w:pStyle w:val="Normal"/>
              <w:rPr>
                <w:rFonts w:ascii="Arial" w:hAnsi="Arial" w:cs="Arial"/>
              </w:rPr>
            </w:pPr>
            <w:r>
              <w:rPr>
                <w:rFonts w:cs="Arial" w:ascii="Arial" w:hAnsi="Arial"/>
              </w:rPr>
              <w:t>Edwards</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503" w:type="dxa"/>
            <w:tcBorders/>
          </w:tcPr>
          <w:p>
            <w:pPr>
              <w:pStyle w:val="Normal"/>
              <w:rPr>
                <w:rFonts w:ascii="Arial" w:hAnsi="Arial" w:cs="Arial"/>
              </w:rPr>
            </w:pPr>
            <w:r>
              <w:rPr>
                <w:rFonts w:cs="Arial" w:ascii="Arial" w:hAnsi="Arial"/>
              </w:rPr>
              <w:t>Y</w:t>
            </w:r>
          </w:p>
        </w:tc>
        <w:tc>
          <w:tcPr>
            <w:tcW w:w="1260" w:type="dxa"/>
            <w:tcBorders/>
          </w:tcPr>
          <w:p>
            <w:pPr>
              <w:pStyle w:val="Normal"/>
              <w:rPr>
                <w:rFonts w:ascii="Arial" w:hAnsi="Arial" w:cs="Arial"/>
              </w:rPr>
            </w:pPr>
            <w:r>
              <w:rPr>
                <w:rFonts w:cs="Arial" w:ascii="Arial" w:hAnsi="Arial"/>
              </w:rPr>
              <w:t xml:space="preserve">Johanson </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Y</w:t>
            </w:r>
          </w:p>
        </w:tc>
        <w:tc>
          <w:tcPr>
            <w:tcW w:w="0" w:type="dxa"/>
            <w:vMerge w:val="continue"/>
            <w:tcBorders/>
          </w:tcPr>
          <w:p>
            <w:pPr>
              <w:pStyle w:val="Normal"/>
              <w:snapToGrid w:val="false"/>
              <w:rPr/>
            </w:pPr>
            <w:r>
              <w:rPr/>
            </w:r>
          </w:p>
        </w:tc>
        <w:tc>
          <w:tcPr>
            <w:tcW w:w="1194" w:type="dxa"/>
            <w:tcBorders/>
          </w:tcPr>
          <w:p>
            <w:pPr>
              <w:pStyle w:val="Normal"/>
              <w:rPr>
                <w:rFonts w:ascii="Arial" w:hAnsi="Arial" w:cs="Arial"/>
              </w:rPr>
            </w:pPr>
            <w:r>
              <w:rPr>
                <w:rFonts w:cs="Arial" w:ascii="Arial" w:hAnsi="Arial"/>
              </w:rPr>
              <w:t>McNally</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N</w:t>
            </w:r>
          </w:p>
        </w:tc>
        <w:tc>
          <w:tcPr>
            <w:tcW w:w="900" w:type="dxa"/>
            <w:tcBorders/>
          </w:tcPr>
          <w:p>
            <w:pPr>
              <w:pStyle w:val="Normal"/>
              <w:rPr>
                <w:rFonts w:ascii="Arial" w:hAnsi="Arial" w:cs="Arial"/>
              </w:rPr>
            </w:pPr>
            <w:r>
              <w:rPr>
                <w:rFonts w:cs="Arial" w:ascii="Arial" w:hAnsi="Arial"/>
              </w:rPr>
              <w:t>Toenyes</w:t>
            </w:r>
          </w:p>
        </w:tc>
        <w:tc>
          <w:tcPr>
            <w:tcW w:w="810" w:type="dxa"/>
            <w:tcBorders/>
          </w:tcPr>
          <w:p>
            <w:pPr>
              <w:pStyle w:val="Normal"/>
              <w:rPr>
                <w:rFonts w:ascii="Arial" w:hAnsi="Arial" w:cs="Arial"/>
              </w:rPr>
            </w:pPr>
            <w:r>
              <w:rPr>
                <w:rFonts w:cs="Arial" w:ascii="Arial" w:hAnsi="Arial"/>
              </w:rPr>
              <w:t>Y</w:t>
            </w:r>
          </w:p>
        </w:tc>
        <w:tc>
          <w:tcPr>
            <w:tcW w:w="624" w:type="dxa"/>
            <w:tcBorders/>
          </w:tcPr>
          <w:p>
            <w:pPr>
              <w:pStyle w:val="Normal"/>
              <w:snapToGrid w:val="false"/>
              <w:rPr/>
            </w:pPr>
            <w:r>
              <w:rPr/>
            </w:r>
          </w:p>
        </w:tc>
        <w:tc>
          <w:tcPr>
            <w:tcW w:w="599" w:type="dxa"/>
            <w:tcBorders/>
          </w:tcPr>
          <w:p>
            <w:pPr>
              <w:pStyle w:val="Normal"/>
              <w:snapToGrid w:val="false"/>
              <w:rPr/>
            </w:pPr>
            <w:r>
              <w:rPr/>
            </w:r>
          </w:p>
        </w:tc>
      </w:tr>
      <w:tr>
        <w:trPr/>
        <w:tc>
          <w:tcPr>
            <w:tcW w:w="1016" w:type="dxa"/>
            <w:tcBorders/>
          </w:tcPr>
          <w:p>
            <w:pPr>
              <w:pStyle w:val="Normal"/>
              <w:rPr>
                <w:rFonts w:ascii="Arial" w:hAnsi="Arial" w:cs="Arial"/>
              </w:rPr>
            </w:pPr>
            <w:r>
              <w:rPr>
                <w:rFonts w:cs="Arial" w:ascii="Arial" w:hAnsi="Arial"/>
              </w:rPr>
              <w:t>Blue</w:t>
            </w:r>
          </w:p>
        </w:tc>
        <w:tc>
          <w:tcPr>
            <w:tcW w:w="599" w:type="dxa"/>
            <w:tcBorders/>
          </w:tcPr>
          <w:p>
            <w:pPr>
              <w:pStyle w:val="Normal"/>
              <w:rPr>
                <w:rFonts w:ascii="Arial" w:hAnsi="Arial" w:cs="Arial"/>
              </w:rPr>
            </w:pPr>
            <w:r>
              <w:rPr>
                <w:rFonts w:cs="Arial" w:ascii="Arial" w:hAnsi="Arial"/>
              </w:rPr>
              <w:t>A</w:t>
            </w:r>
          </w:p>
        </w:tc>
        <w:tc>
          <w:tcPr>
            <w:tcW w:w="1032" w:type="dxa"/>
            <w:tcBorders/>
          </w:tcPr>
          <w:p>
            <w:pPr>
              <w:pStyle w:val="Normal"/>
              <w:rPr>
                <w:rFonts w:ascii="Arial" w:hAnsi="Arial" w:cs="Arial"/>
              </w:rPr>
            </w:pPr>
            <w:r>
              <w:rPr>
                <w:rFonts w:cs="Arial" w:ascii="Arial" w:hAnsi="Arial"/>
              </w:rPr>
              <w:t>Ferreira</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503" w:type="dxa"/>
            <w:tcBorders/>
          </w:tcPr>
          <w:p>
            <w:pPr>
              <w:pStyle w:val="Normal"/>
              <w:rPr>
                <w:rFonts w:ascii="Arial" w:hAnsi="Arial" w:cs="Arial"/>
              </w:rPr>
            </w:pPr>
            <w:r>
              <w:rPr>
                <w:rFonts w:cs="Arial" w:ascii="Arial" w:hAnsi="Arial"/>
              </w:rPr>
              <w:t>Y</w:t>
            </w:r>
          </w:p>
        </w:tc>
        <w:tc>
          <w:tcPr>
            <w:tcW w:w="1260" w:type="dxa"/>
            <w:tcBorders/>
          </w:tcPr>
          <w:p>
            <w:pPr>
              <w:pStyle w:val="Normal"/>
              <w:rPr>
                <w:rFonts w:ascii="Arial" w:hAnsi="Arial" w:cs="Arial"/>
              </w:rPr>
            </w:pPr>
            <w:r>
              <w:rPr>
                <w:rFonts w:cs="Arial" w:ascii="Arial" w:hAnsi="Arial"/>
              </w:rPr>
              <w:t>Kashiwada</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Y</w:t>
            </w:r>
          </w:p>
        </w:tc>
        <w:tc>
          <w:tcPr>
            <w:tcW w:w="0" w:type="dxa"/>
            <w:vMerge w:val="continue"/>
            <w:tcBorders/>
          </w:tcPr>
          <w:p>
            <w:pPr>
              <w:pStyle w:val="Normal"/>
              <w:snapToGrid w:val="false"/>
              <w:rPr/>
            </w:pPr>
            <w:r>
              <w:rPr/>
            </w:r>
          </w:p>
        </w:tc>
        <w:tc>
          <w:tcPr>
            <w:tcW w:w="1194" w:type="dxa"/>
            <w:tcBorders/>
          </w:tcPr>
          <w:p>
            <w:pPr>
              <w:pStyle w:val="Normal"/>
              <w:rPr>
                <w:rFonts w:ascii="Arial" w:hAnsi="Arial" w:cs="Arial"/>
              </w:rPr>
            </w:pPr>
            <w:r>
              <w:rPr>
                <w:rFonts w:cs="Arial" w:ascii="Arial" w:hAnsi="Arial"/>
              </w:rPr>
              <w:t>Parquet</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A</w:t>
            </w:r>
          </w:p>
        </w:tc>
        <w:tc>
          <w:tcPr>
            <w:tcW w:w="900" w:type="dxa"/>
            <w:tcBorders/>
          </w:tcPr>
          <w:p>
            <w:pPr>
              <w:pStyle w:val="Normal"/>
              <w:rPr>
                <w:rFonts w:ascii="Arial" w:hAnsi="Arial" w:cs="Arial"/>
              </w:rPr>
            </w:pPr>
            <w:r>
              <w:rPr>
                <w:rFonts w:cs="Arial" w:ascii="Arial" w:hAnsi="Arial"/>
              </w:rPr>
              <w:t>White</w:t>
            </w:r>
          </w:p>
        </w:tc>
        <w:tc>
          <w:tcPr>
            <w:tcW w:w="810" w:type="dxa"/>
            <w:tcBorders/>
          </w:tcPr>
          <w:p>
            <w:pPr>
              <w:pStyle w:val="Normal"/>
              <w:rPr>
                <w:rFonts w:ascii="Arial" w:hAnsi="Arial" w:cs="Arial"/>
              </w:rPr>
            </w:pPr>
            <w:r>
              <w:rPr>
                <w:rFonts w:cs="Arial" w:ascii="Arial" w:hAnsi="Arial"/>
              </w:rPr>
              <w:t>Y</w:t>
            </w:r>
          </w:p>
        </w:tc>
        <w:tc>
          <w:tcPr>
            <w:tcW w:w="624" w:type="dxa"/>
            <w:tcBorders/>
          </w:tcPr>
          <w:p>
            <w:pPr>
              <w:pStyle w:val="Normal"/>
              <w:snapToGrid w:val="false"/>
              <w:rPr/>
            </w:pPr>
            <w:r>
              <w:rPr/>
            </w:r>
          </w:p>
        </w:tc>
        <w:tc>
          <w:tcPr>
            <w:tcW w:w="599" w:type="dxa"/>
            <w:tcBorders/>
          </w:tcPr>
          <w:p>
            <w:pPr>
              <w:pStyle w:val="Normal"/>
              <w:snapToGrid w:val="false"/>
              <w:rPr/>
            </w:pPr>
            <w:r>
              <w:rPr/>
            </w:r>
          </w:p>
        </w:tc>
      </w:tr>
      <w:tr>
        <w:trPr/>
        <w:tc>
          <w:tcPr>
            <w:tcW w:w="1016" w:type="dxa"/>
            <w:tcBorders/>
          </w:tcPr>
          <w:p>
            <w:pPr>
              <w:pStyle w:val="Normal"/>
              <w:rPr>
                <w:rFonts w:ascii="Arial" w:hAnsi="Arial" w:cs="Arial"/>
              </w:rPr>
            </w:pPr>
            <w:r>
              <w:rPr>
                <w:rFonts w:cs="Arial" w:ascii="Arial" w:hAnsi="Arial"/>
              </w:rPr>
              <w:t>Carnahan</w:t>
            </w:r>
          </w:p>
        </w:tc>
        <w:tc>
          <w:tcPr>
            <w:tcW w:w="599" w:type="dxa"/>
            <w:tcBorders/>
          </w:tcPr>
          <w:p>
            <w:pPr>
              <w:pStyle w:val="Normal"/>
              <w:rPr>
                <w:rFonts w:ascii="Arial" w:hAnsi="Arial" w:cs="Arial"/>
              </w:rPr>
            </w:pPr>
            <w:r>
              <w:rPr>
                <w:rFonts w:cs="Arial" w:ascii="Arial" w:hAnsi="Arial"/>
              </w:rPr>
              <w:t>Y</w:t>
            </w:r>
          </w:p>
        </w:tc>
        <w:tc>
          <w:tcPr>
            <w:tcW w:w="1032" w:type="dxa"/>
            <w:tcBorders/>
          </w:tcPr>
          <w:p>
            <w:pPr>
              <w:pStyle w:val="Normal"/>
              <w:rPr>
                <w:rFonts w:ascii="Arial" w:hAnsi="Arial" w:cs="Arial"/>
              </w:rPr>
            </w:pPr>
            <w:r>
              <w:rPr>
                <w:rFonts w:cs="Arial" w:ascii="Arial" w:hAnsi="Arial"/>
              </w:rPr>
              <w:t>Fielder</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503" w:type="dxa"/>
            <w:tcBorders/>
          </w:tcPr>
          <w:p>
            <w:pPr>
              <w:pStyle w:val="Normal"/>
              <w:rPr>
                <w:rFonts w:ascii="Arial" w:hAnsi="Arial" w:cs="Arial"/>
              </w:rPr>
            </w:pPr>
            <w:r>
              <w:rPr>
                <w:rFonts w:cs="Arial" w:ascii="Arial" w:hAnsi="Arial"/>
              </w:rPr>
              <w:t>N</w:t>
            </w:r>
          </w:p>
        </w:tc>
        <w:tc>
          <w:tcPr>
            <w:tcW w:w="1260" w:type="dxa"/>
            <w:tcBorders/>
          </w:tcPr>
          <w:p>
            <w:pPr>
              <w:pStyle w:val="Normal"/>
              <w:rPr>
                <w:rFonts w:ascii="Arial" w:hAnsi="Arial" w:cs="Arial"/>
              </w:rPr>
            </w:pPr>
            <w:r>
              <w:rPr>
                <w:rFonts w:cs="Arial" w:ascii="Arial" w:hAnsi="Arial"/>
              </w:rPr>
              <w:t>Kehrein</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A</w:t>
            </w:r>
          </w:p>
        </w:tc>
        <w:tc>
          <w:tcPr>
            <w:tcW w:w="0" w:type="dxa"/>
            <w:vMerge w:val="continue"/>
            <w:tcBorders/>
          </w:tcPr>
          <w:p>
            <w:pPr>
              <w:pStyle w:val="Normal"/>
              <w:snapToGrid w:val="false"/>
              <w:rPr/>
            </w:pPr>
            <w:r>
              <w:rPr/>
            </w:r>
          </w:p>
        </w:tc>
        <w:tc>
          <w:tcPr>
            <w:tcW w:w="1194" w:type="dxa"/>
            <w:tcBorders/>
          </w:tcPr>
          <w:p>
            <w:pPr>
              <w:pStyle w:val="Normal"/>
              <w:rPr>
                <w:rFonts w:ascii="Arial" w:hAnsi="Arial" w:cs="Arial"/>
              </w:rPr>
            </w:pPr>
            <w:r>
              <w:rPr>
                <w:rFonts w:cs="Arial" w:ascii="Arial" w:hAnsi="Arial"/>
              </w:rPr>
              <w:t>Roscoe</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N</w:t>
            </w:r>
          </w:p>
        </w:tc>
        <w:tc>
          <w:tcPr>
            <w:tcW w:w="900" w:type="dxa"/>
            <w:tcBorders/>
          </w:tcPr>
          <w:p>
            <w:pPr>
              <w:pStyle w:val="Normal"/>
              <w:rPr>
                <w:rFonts w:ascii="Arial" w:hAnsi="Arial" w:cs="Arial"/>
              </w:rPr>
            </w:pPr>
            <w:r>
              <w:rPr>
                <w:rFonts w:cs="Arial" w:ascii="Arial" w:hAnsi="Arial"/>
              </w:rPr>
              <w:t>Winter</w:t>
            </w:r>
          </w:p>
        </w:tc>
        <w:tc>
          <w:tcPr>
            <w:tcW w:w="810" w:type="dxa"/>
            <w:tcBorders/>
          </w:tcPr>
          <w:p>
            <w:pPr>
              <w:pStyle w:val="Normal"/>
              <w:rPr>
                <w:rFonts w:ascii="Arial" w:hAnsi="Arial" w:cs="Arial"/>
              </w:rPr>
            </w:pPr>
            <w:r>
              <w:rPr>
                <w:rFonts w:cs="Arial" w:ascii="Arial" w:hAnsi="Arial"/>
              </w:rPr>
              <w:t>Y</w:t>
            </w:r>
          </w:p>
        </w:tc>
        <w:tc>
          <w:tcPr>
            <w:tcW w:w="624" w:type="dxa"/>
            <w:tcBorders/>
          </w:tcPr>
          <w:p>
            <w:pPr>
              <w:pStyle w:val="Normal"/>
              <w:snapToGrid w:val="false"/>
              <w:rPr/>
            </w:pPr>
            <w:r>
              <w:rPr/>
            </w:r>
          </w:p>
        </w:tc>
        <w:tc>
          <w:tcPr>
            <w:tcW w:w="599" w:type="dxa"/>
            <w:tcBorders/>
          </w:tcPr>
          <w:p>
            <w:pPr>
              <w:pStyle w:val="Normal"/>
              <w:snapToGrid w:val="false"/>
              <w:rPr/>
            </w:pPr>
            <w:r>
              <w:rPr/>
            </w:r>
          </w:p>
        </w:tc>
      </w:tr>
      <w:tr>
        <w:trPr/>
        <w:tc>
          <w:tcPr>
            <w:tcW w:w="1016" w:type="dxa"/>
            <w:tcBorders/>
          </w:tcPr>
          <w:p>
            <w:pPr>
              <w:pStyle w:val="Normal"/>
              <w:rPr>
                <w:rFonts w:ascii="Arial" w:hAnsi="Arial" w:cs="Arial"/>
              </w:rPr>
            </w:pPr>
            <w:r>
              <w:rPr>
                <w:rFonts w:cs="Arial" w:ascii="Arial" w:hAnsi="Arial"/>
              </w:rPr>
              <w:t>Collins</w:t>
            </w:r>
          </w:p>
        </w:tc>
        <w:tc>
          <w:tcPr>
            <w:tcW w:w="599" w:type="dxa"/>
            <w:tcBorders/>
          </w:tcPr>
          <w:p>
            <w:pPr>
              <w:pStyle w:val="Normal"/>
              <w:rPr>
                <w:rFonts w:ascii="Arial" w:hAnsi="Arial" w:cs="Arial"/>
              </w:rPr>
            </w:pPr>
            <w:r>
              <w:rPr>
                <w:rFonts w:cs="Arial" w:ascii="Arial" w:hAnsi="Arial"/>
              </w:rPr>
              <w:t>N</w:t>
            </w:r>
          </w:p>
        </w:tc>
        <w:tc>
          <w:tcPr>
            <w:tcW w:w="1032" w:type="dxa"/>
            <w:tcBorders/>
          </w:tcPr>
          <w:p>
            <w:pPr>
              <w:pStyle w:val="Normal"/>
              <w:rPr>
                <w:rFonts w:ascii="Arial" w:hAnsi="Arial" w:cs="Arial"/>
              </w:rPr>
            </w:pPr>
            <w:r>
              <w:rPr>
                <w:rFonts w:cs="Arial" w:ascii="Arial" w:hAnsi="Arial"/>
              </w:rPr>
              <w:t>Florio</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503" w:type="dxa"/>
            <w:tcBorders/>
          </w:tcPr>
          <w:p>
            <w:pPr>
              <w:pStyle w:val="Normal"/>
              <w:rPr>
                <w:rFonts w:ascii="Arial" w:hAnsi="Arial" w:cs="Arial"/>
              </w:rPr>
            </w:pPr>
            <w:r>
              <w:rPr>
                <w:rFonts w:cs="Arial" w:ascii="Arial" w:hAnsi="Arial"/>
              </w:rPr>
              <w:t>Y</w:t>
            </w:r>
          </w:p>
        </w:tc>
        <w:tc>
          <w:tcPr>
            <w:tcW w:w="1260" w:type="dxa"/>
            <w:tcBorders/>
          </w:tcPr>
          <w:p>
            <w:pPr>
              <w:pStyle w:val="Normal"/>
              <w:rPr>
                <w:rFonts w:ascii="Arial" w:hAnsi="Arial" w:cs="Arial"/>
              </w:rPr>
            </w:pPr>
            <w:r>
              <w:rPr>
                <w:rFonts w:cs="Arial" w:ascii="Arial" w:hAnsi="Arial"/>
              </w:rPr>
              <w:t>Kirshner</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X</w:t>
            </w:r>
          </w:p>
        </w:tc>
        <w:tc>
          <w:tcPr>
            <w:tcW w:w="0" w:type="dxa"/>
            <w:vMerge w:val="continue"/>
            <w:tcBorders/>
          </w:tcPr>
          <w:p>
            <w:pPr>
              <w:pStyle w:val="Normal"/>
              <w:snapToGrid w:val="false"/>
              <w:rPr/>
            </w:pPr>
            <w:r>
              <w:rPr/>
            </w:r>
          </w:p>
        </w:tc>
        <w:tc>
          <w:tcPr>
            <w:tcW w:w="1194" w:type="dxa"/>
            <w:tcBorders/>
          </w:tcPr>
          <w:p>
            <w:pPr>
              <w:pStyle w:val="Normal"/>
              <w:rPr>
                <w:rFonts w:ascii="Arial" w:hAnsi="Arial" w:cs="Arial"/>
              </w:rPr>
            </w:pPr>
            <w:r>
              <w:rPr>
                <w:rFonts w:cs="Arial" w:ascii="Arial" w:hAnsi="Arial"/>
              </w:rPr>
              <w:t>Smutny-Jones</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Y</w:t>
            </w:r>
          </w:p>
        </w:tc>
        <w:tc>
          <w:tcPr>
            <w:tcW w:w="900" w:type="dxa"/>
            <w:tcBorders/>
          </w:tcPr>
          <w:p>
            <w:pPr>
              <w:pStyle w:val="Normal"/>
              <w:rPr>
                <w:rFonts w:ascii="Arial" w:hAnsi="Arial" w:cs="Arial"/>
              </w:rPr>
            </w:pPr>
            <w:r>
              <w:rPr>
                <w:rFonts w:cs="Arial" w:ascii="Arial" w:hAnsi="Arial"/>
              </w:rPr>
              <w:t>Wiseman</w:t>
            </w:r>
          </w:p>
        </w:tc>
        <w:tc>
          <w:tcPr>
            <w:tcW w:w="810" w:type="dxa"/>
            <w:tcBorders/>
          </w:tcPr>
          <w:p>
            <w:pPr>
              <w:pStyle w:val="Normal"/>
              <w:rPr>
                <w:rFonts w:ascii="Arial" w:hAnsi="Arial" w:cs="Arial"/>
              </w:rPr>
            </w:pPr>
            <w:r>
              <w:rPr>
                <w:rFonts w:cs="Arial" w:ascii="Arial" w:hAnsi="Arial"/>
              </w:rPr>
              <w:t>Y</w:t>
            </w:r>
          </w:p>
        </w:tc>
        <w:tc>
          <w:tcPr>
            <w:tcW w:w="624" w:type="dxa"/>
            <w:tcBorders/>
          </w:tcPr>
          <w:p>
            <w:pPr>
              <w:pStyle w:val="Normal"/>
              <w:snapToGrid w:val="false"/>
              <w:rPr/>
            </w:pPr>
            <w:r>
              <w:rPr/>
            </w:r>
          </w:p>
        </w:tc>
        <w:tc>
          <w:tcPr>
            <w:tcW w:w="599" w:type="dxa"/>
            <w:tcBorders/>
          </w:tcPr>
          <w:p>
            <w:pPr>
              <w:pStyle w:val="Normal"/>
              <w:snapToGrid w:val="false"/>
              <w:rPr/>
            </w:pPr>
            <w:r>
              <w:rPr/>
            </w:r>
          </w:p>
        </w:tc>
      </w:tr>
      <w:tr>
        <w:trPr>
          <w:trHeight w:val="30" w:hRule="atLeast"/>
        </w:trPr>
        <w:tc>
          <w:tcPr>
            <w:tcW w:w="1016" w:type="dxa"/>
            <w:tcBorders/>
          </w:tcPr>
          <w:p>
            <w:pPr>
              <w:pStyle w:val="Normal"/>
              <w:rPr>
                <w:rFonts w:ascii="Arial" w:hAnsi="Arial" w:cs="Arial"/>
              </w:rPr>
            </w:pPr>
            <w:r>
              <w:rPr>
                <w:rFonts w:cs="Arial" w:ascii="Arial" w:hAnsi="Arial"/>
              </w:rPr>
              <w:t>Cotton</w:t>
            </w:r>
          </w:p>
        </w:tc>
        <w:tc>
          <w:tcPr>
            <w:tcW w:w="599" w:type="dxa"/>
            <w:tcBorders/>
          </w:tcPr>
          <w:p>
            <w:pPr>
              <w:pStyle w:val="Normal"/>
              <w:rPr>
                <w:rFonts w:ascii="Arial" w:hAnsi="Arial" w:cs="Arial"/>
              </w:rPr>
            </w:pPr>
            <w:r>
              <w:rPr>
                <w:rFonts w:cs="Arial" w:ascii="Arial" w:hAnsi="Arial"/>
              </w:rPr>
              <w:t>Y</w:t>
            </w:r>
          </w:p>
        </w:tc>
        <w:tc>
          <w:tcPr>
            <w:tcW w:w="1032" w:type="dxa"/>
            <w:tcBorders/>
          </w:tcPr>
          <w:p>
            <w:pPr>
              <w:pStyle w:val="Normal"/>
              <w:rPr>
                <w:rFonts w:ascii="Arial" w:hAnsi="Arial" w:cs="Arial"/>
              </w:rPr>
            </w:pPr>
            <w:r>
              <w:rPr>
                <w:rFonts w:cs="Arial" w:ascii="Arial" w:hAnsi="Arial"/>
              </w:rPr>
              <w:t>Hapner</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503" w:type="dxa"/>
            <w:tcBorders/>
          </w:tcPr>
          <w:p>
            <w:pPr>
              <w:pStyle w:val="Normal"/>
              <w:rPr>
                <w:rFonts w:ascii="Arial" w:hAnsi="Arial" w:cs="Arial"/>
              </w:rPr>
            </w:pPr>
            <w:r>
              <w:rPr>
                <w:rFonts w:cs="Arial" w:ascii="Arial" w:hAnsi="Arial"/>
              </w:rPr>
              <w:t>Y</w:t>
            </w:r>
          </w:p>
        </w:tc>
        <w:tc>
          <w:tcPr>
            <w:tcW w:w="1260" w:type="dxa"/>
            <w:tcBorders/>
          </w:tcPr>
          <w:p>
            <w:pPr>
              <w:pStyle w:val="Normal"/>
              <w:rPr>
                <w:rFonts w:ascii="Arial" w:hAnsi="Arial" w:cs="Arial"/>
              </w:rPr>
            </w:pPr>
            <w:r>
              <w:rPr>
                <w:rFonts w:cs="Arial" w:ascii="Arial" w:hAnsi="Arial"/>
              </w:rPr>
              <w:t>McGuire</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Y</w:t>
            </w:r>
          </w:p>
        </w:tc>
        <w:tc>
          <w:tcPr>
            <w:tcW w:w="0" w:type="dxa"/>
            <w:vMerge w:val="continue"/>
            <w:tcBorders/>
          </w:tcPr>
          <w:p>
            <w:pPr>
              <w:pStyle w:val="Normal"/>
              <w:snapToGrid w:val="false"/>
              <w:rPr/>
            </w:pPr>
            <w:r>
              <w:rPr/>
            </w:r>
          </w:p>
        </w:tc>
        <w:tc>
          <w:tcPr>
            <w:tcW w:w="1194" w:type="dxa"/>
            <w:tcBorders/>
          </w:tcPr>
          <w:p>
            <w:pPr>
              <w:pStyle w:val="Normal"/>
              <w:rPr>
                <w:rFonts w:ascii="Arial" w:hAnsi="Arial" w:cs="Arial"/>
              </w:rPr>
            </w:pPr>
            <w:r>
              <w:rPr>
                <w:rFonts w:cs="Arial" w:ascii="Arial" w:hAnsi="Arial"/>
              </w:rPr>
              <w:t>Swanson</w:t>
            </w:r>
          </w:p>
        </w:tc>
        <w:tc>
          <w:tcPr>
            <w:tcW w:w="0" w:type="dxa"/>
            <w:vMerge w:val="continue"/>
            <w:tcBorders/>
          </w:tcPr>
          <w:p>
            <w:pPr>
              <w:pStyle w:val="Normal"/>
              <w:snapToGrid w:val="false"/>
              <w:rPr/>
            </w:pPr>
            <w:r>
              <w:rPr/>
            </w:r>
          </w:p>
        </w:tc>
        <w:tc>
          <w:tcPr>
            <w:tcW w:w="0" w:type="dxa"/>
            <w:vMerge w:val="continue"/>
            <w:tcBorders/>
          </w:tcPr>
          <w:p>
            <w:pPr>
              <w:pStyle w:val="Normal"/>
              <w:snapToGrid w:val="false"/>
              <w:rPr/>
            </w:pPr>
            <w:r>
              <w:rPr/>
            </w:r>
          </w:p>
        </w:tc>
        <w:tc>
          <w:tcPr>
            <w:tcW w:w="450" w:type="dxa"/>
            <w:tcBorders/>
          </w:tcPr>
          <w:p>
            <w:pPr>
              <w:pStyle w:val="Normal"/>
              <w:rPr>
                <w:rFonts w:ascii="Arial" w:hAnsi="Arial" w:cs="Arial"/>
              </w:rPr>
            </w:pPr>
            <w:r>
              <w:rPr>
                <w:rFonts w:cs="Arial" w:ascii="Arial" w:hAnsi="Arial"/>
              </w:rPr>
              <w:t>Y</w:t>
            </w:r>
          </w:p>
        </w:tc>
        <w:tc>
          <w:tcPr>
            <w:tcW w:w="900" w:type="dxa"/>
            <w:tcBorders/>
          </w:tcPr>
          <w:p>
            <w:pPr>
              <w:pStyle w:val="Normal"/>
              <w:rPr>
                <w:rFonts w:ascii="Arial" w:hAnsi="Arial" w:cs="Arial"/>
              </w:rPr>
            </w:pPr>
            <w:r>
              <w:rPr>
                <w:rFonts w:cs="Arial" w:ascii="Arial" w:hAnsi="Arial"/>
              </w:rPr>
              <w:t>Woychik</w:t>
            </w:r>
          </w:p>
        </w:tc>
        <w:tc>
          <w:tcPr>
            <w:tcW w:w="810" w:type="dxa"/>
            <w:tcBorders/>
          </w:tcPr>
          <w:p>
            <w:pPr>
              <w:pStyle w:val="Normal"/>
              <w:rPr>
                <w:rFonts w:ascii="Arial" w:hAnsi="Arial" w:cs="Arial"/>
              </w:rPr>
            </w:pPr>
            <w:r>
              <w:rPr>
                <w:rFonts w:cs="Arial" w:ascii="Arial" w:hAnsi="Arial"/>
              </w:rPr>
              <w:t>Y</w:t>
            </w:r>
          </w:p>
        </w:tc>
        <w:tc>
          <w:tcPr>
            <w:tcW w:w="624" w:type="dxa"/>
            <w:tcBorders/>
          </w:tcPr>
          <w:p>
            <w:pPr>
              <w:pStyle w:val="Normal"/>
              <w:snapToGrid w:val="false"/>
              <w:rPr/>
            </w:pPr>
            <w:r>
              <w:rPr/>
            </w:r>
          </w:p>
        </w:tc>
        <w:tc>
          <w:tcPr>
            <w:tcW w:w="599" w:type="dxa"/>
            <w:tcBorders/>
          </w:tcPr>
          <w:p>
            <w:pPr>
              <w:pStyle w:val="Normal"/>
              <w:snapToGrid w:val="false"/>
              <w:rPr/>
            </w:pPr>
            <w:r>
              <w:rPr/>
            </w:r>
          </w:p>
        </w:tc>
      </w:tr>
    </w:tbl>
    <w:p>
      <w:pPr>
        <w:pStyle w:val="Normal"/>
        <w:rPr/>
      </w:pPr>
      <w:r>
        <w:rPr/>
      </w:r>
    </w:p>
    <w:p>
      <w:pPr>
        <w:pStyle w:val="Normal"/>
        <w:rPr/>
      </w:pPr>
      <w:r>
        <w:rPr/>
      </w:r>
    </w:p>
    <w:p>
      <w:pPr>
        <w:pStyle w:val="Normal"/>
        <w:rPr>
          <w:rFonts w:ascii="Helvetica-Oblique" w:hAnsi="Helvetica-Oblique" w:cs="Helvetica-Oblique"/>
          <w:i/>
          <w:i/>
          <w:sz w:val="16"/>
          <w:lang w:eastAsia="en-US"/>
        </w:rPr>
      </w:pPr>
      <w:r>
        <w:rPr>
          <w:rFonts w:cs="Helvetica-Oblique" w:ascii="Helvetica-Oblique" w:hAnsi="Helvetica-Oblique"/>
          <w:i/>
          <w:sz w:val="16"/>
          <w:lang w:eastAsia="en-US"/>
        </w:rPr>
        <w:t>Revised July 11, 2000</w:t>
      </w:r>
    </w:p>
    <w:p>
      <w:pPr>
        <w:pStyle w:val="Normal"/>
        <w:rPr>
          <w:rFonts w:ascii="Helvetica-BoldOblique" w:hAnsi="Helvetica-BoldOblique" w:cs="Helvetica-BoldOblique"/>
          <w:b/>
          <w:i/>
          <w:i/>
          <w:sz w:val="24"/>
          <w:lang w:eastAsia="en-US"/>
        </w:rPr>
      </w:pPr>
      <w:r>
        <w:rPr>
          <w:rFonts w:cs="Helvetica-BoldOblique" w:ascii="Helvetica-BoldOblique" w:hAnsi="Helvetica-BoldOblique"/>
          <w:b/>
          <w:i/>
          <w:sz w:val="24"/>
          <w:lang w:eastAsia="en-US"/>
        </w:rPr>
        <w:t>BOARD OF GOVERNORS</w:t>
      </w:r>
    </w:p>
    <w:p>
      <w:pPr>
        <w:pStyle w:val="Normal"/>
        <w:rPr>
          <w:rFonts w:ascii="Helvetica-Bold" w:hAnsi="Helvetica-Bold" w:cs="Helvetica-Bold"/>
          <w:b/>
          <w:lang w:eastAsia="en-US"/>
        </w:rPr>
      </w:pPr>
      <w:r>
        <w:rPr>
          <w:rFonts w:cs="Helvetica-Bold" w:ascii="Helvetica-Bold" w:hAnsi="Helvetica-Bold"/>
          <w:b/>
          <w:lang w:eastAsia="en-US"/>
        </w:rPr>
        <w:t>Paul Arnold-Adv. Board Member</w:t>
      </w:r>
    </w:p>
    <w:p>
      <w:pPr>
        <w:pStyle w:val="Normal"/>
        <w:rPr>
          <w:rFonts w:ascii="Helvetica" w:hAnsi="Helvetica" w:cs="Helvetica"/>
          <w:lang w:eastAsia="en-US"/>
        </w:rPr>
      </w:pPr>
      <w:r>
        <w:rPr>
          <w:rFonts w:cs="Helvetica" w:ascii="Helvetica" w:hAnsi="Helvetica"/>
          <w:lang w:eastAsia="en-US"/>
        </w:rPr>
        <w:t>Bonneville Power Administration</w:t>
      </w:r>
    </w:p>
    <w:p>
      <w:pPr>
        <w:pStyle w:val="Normal"/>
        <w:rPr>
          <w:rFonts w:ascii="Helvetica" w:hAnsi="Helvetica" w:cs="Helvetica"/>
          <w:lang w:eastAsia="en-US"/>
        </w:rPr>
      </w:pPr>
      <w:r>
        <w:rPr>
          <w:rFonts w:cs="Helvetica" w:ascii="Helvetica" w:hAnsi="Helvetica"/>
          <w:lang w:eastAsia="en-US"/>
        </w:rPr>
        <w:t>5411 NE Highway 99, MR:TO/DITT2</w:t>
      </w:r>
    </w:p>
    <w:p>
      <w:pPr>
        <w:pStyle w:val="Normal"/>
        <w:rPr>
          <w:rFonts w:ascii="Helvetica" w:hAnsi="Helvetica" w:cs="Helvetica"/>
          <w:lang w:eastAsia="en-US"/>
        </w:rPr>
      </w:pPr>
      <w:r>
        <w:rPr>
          <w:rFonts w:cs="Helvetica" w:ascii="Helvetica" w:hAnsi="Helvetica"/>
          <w:lang w:eastAsia="en-US"/>
        </w:rPr>
        <w:t>Vancouver, WA 98663-1302</w:t>
      </w:r>
    </w:p>
    <w:p>
      <w:pPr>
        <w:pStyle w:val="Normal"/>
        <w:rPr>
          <w:rFonts w:ascii="Helvetica" w:hAnsi="Helvetica" w:cs="Helvetica"/>
          <w:lang w:eastAsia="en-US"/>
        </w:rPr>
      </w:pPr>
      <w:r>
        <w:rPr>
          <w:rFonts w:cs="Helvetica" w:ascii="Helvetica" w:hAnsi="Helvetica"/>
          <w:lang w:eastAsia="en-US"/>
        </w:rPr>
        <w:t>Telephone: 360.418.2302</w:t>
      </w:r>
    </w:p>
    <w:p>
      <w:pPr>
        <w:pStyle w:val="Normal"/>
        <w:rPr>
          <w:rFonts w:ascii="Helvetica" w:hAnsi="Helvetica" w:cs="Helvetica"/>
          <w:lang w:eastAsia="en-US"/>
        </w:rPr>
      </w:pPr>
      <w:r>
        <w:rPr>
          <w:rFonts w:cs="Helvetica" w:ascii="Helvetica" w:hAnsi="Helvetica"/>
          <w:lang w:eastAsia="en-US"/>
        </w:rPr>
        <w:t>Facsimile: 360.418.8433</w:t>
      </w:r>
    </w:p>
    <w:p>
      <w:pPr>
        <w:pStyle w:val="Normal"/>
        <w:rPr>
          <w:rFonts w:ascii="Helvetica-Bold" w:hAnsi="Helvetica-Bold" w:cs="Helvetica-Bold"/>
          <w:b/>
          <w:lang w:eastAsia="en-US"/>
        </w:rPr>
      </w:pPr>
      <w:r>
        <w:rPr>
          <w:rFonts w:cs="Helvetica-Bold" w:ascii="Helvetica-Bold" w:hAnsi="Helvetica-Bold"/>
          <w:b/>
          <w:lang w:eastAsia="en-US"/>
        </w:rPr>
        <w:t>Barbara Barkovich</w:t>
      </w:r>
    </w:p>
    <w:p>
      <w:pPr>
        <w:pStyle w:val="Normal"/>
        <w:rPr>
          <w:rFonts w:ascii="Helvetica" w:hAnsi="Helvetica" w:cs="Helvetica"/>
          <w:lang w:eastAsia="en-US"/>
        </w:rPr>
      </w:pPr>
      <w:r>
        <w:rPr>
          <w:rFonts w:cs="Helvetica" w:ascii="Helvetica" w:hAnsi="Helvetica"/>
          <w:lang w:eastAsia="en-US"/>
        </w:rPr>
        <w:t>Barkovich &amp; Yap, Inc.</w:t>
      </w:r>
    </w:p>
    <w:p>
      <w:pPr>
        <w:pStyle w:val="Normal"/>
        <w:rPr>
          <w:rFonts w:ascii="Helvetica" w:hAnsi="Helvetica" w:cs="Helvetica"/>
          <w:lang w:eastAsia="en-US"/>
        </w:rPr>
      </w:pPr>
      <w:r>
        <w:rPr>
          <w:rFonts w:cs="Helvetica" w:ascii="Helvetica" w:hAnsi="Helvetica"/>
          <w:lang w:eastAsia="en-US"/>
        </w:rPr>
        <w:t>31 Eucalyptus Lane</w:t>
      </w:r>
    </w:p>
    <w:p>
      <w:pPr>
        <w:pStyle w:val="Normal"/>
        <w:rPr>
          <w:rFonts w:ascii="Helvetica" w:hAnsi="Helvetica" w:cs="Helvetica"/>
          <w:lang w:eastAsia="en-US"/>
        </w:rPr>
      </w:pPr>
      <w:r>
        <w:rPr>
          <w:rFonts w:cs="Helvetica" w:ascii="Helvetica" w:hAnsi="Helvetica"/>
          <w:lang w:eastAsia="en-US"/>
        </w:rPr>
        <w:t>San Rafael, CA 94901-2304</w:t>
      </w:r>
    </w:p>
    <w:p>
      <w:pPr>
        <w:pStyle w:val="Normal"/>
        <w:rPr>
          <w:rFonts w:ascii="Helvetica" w:hAnsi="Helvetica" w:cs="Helvetica"/>
          <w:lang w:eastAsia="en-US"/>
        </w:rPr>
      </w:pPr>
      <w:r>
        <w:rPr>
          <w:rFonts w:cs="Helvetica" w:ascii="Helvetica" w:hAnsi="Helvetica"/>
          <w:lang w:eastAsia="en-US"/>
        </w:rPr>
        <w:t>Telephone: 415.457.5537</w:t>
      </w:r>
    </w:p>
    <w:p>
      <w:pPr>
        <w:pStyle w:val="Normal"/>
        <w:rPr>
          <w:rFonts w:ascii="Helvetica" w:hAnsi="Helvetica" w:cs="Helvetica"/>
          <w:lang w:eastAsia="en-US"/>
        </w:rPr>
      </w:pPr>
      <w:r>
        <w:rPr>
          <w:rFonts w:cs="Helvetica" w:ascii="Helvetica" w:hAnsi="Helvetica"/>
          <w:lang w:eastAsia="en-US"/>
        </w:rPr>
        <w:t>Facsimile: 415.457.1948</w:t>
      </w:r>
    </w:p>
    <w:p>
      <w:pPr>
        <w:pStyle w:val="Normal"/>
        <w:rPr>
          <w:rFonts w:ascii="Helvetica-Bold" w:hAnsi="Helvetica-Bold" w:cs="Helvetica-Bold"/>
          <w:b/>
          <w:lang w:eastAsia="en-US"/>
        </w:rPr>
      </w:pPr>
      <w:r>
        <w:rPr>
          <w:rFonts w:cs="Helvetica-Bold" w:ascii="Helvetica-Bold" w:hAnsi="Helvetica-Bold"/>
          <w:b/>
          <w:lang w:eastAsia="en-US"/>
        </w:rPr>
        <w:t>Gregory Blue</w:t>
      </w:r>
    </w:p>
    <w:p>
      <w:pPr>
        <w:pStyle w:val="Normal"/>
        <w:rPr>
          <w:rFonts w:ascii="Helvetica" w:hAnsi="Helvetica" w:cs="Helvetica"/>
          <w:lang w:eastAsia="en-US"/>
        </w:rPr>
      </w:pPr>
      <w:r>
        <w:rPr>
          <w:rFonts w:cs="Helvetica" w:ascii="Helvetica" w:hAnsi="Helvetica"/>
          <w:lang w:eastAsia="en-US"/>
        </w:rPr>
        <w:t>Dynegy, Inc.</w:t>
      </w:r>
    </w:p>
    <w:p>
      <w:pPr>
        <w:pStyle w:val="Normal"/>
        <w:rPr>
          <w:rFonts w:ascii="Helvetica" w:hAnsi="Helvetica" w:cs="Helvetica"/>
          <w:lang w:eastAsia="en-US"/>
        </w:rPr>
      </w:pPr>
      <w:r>
        <w:rPr>
          <w:rFonts w:cs="Helvetica" w:ascii="Helvetica" w:hAnsi="Helvetica"/>
          <w:lang w:eastAsia="en-US"/>
        </w:rPr>
        <w:t>5976 West Las Positas Blvd. #200</w:t>
      </w:r>
    </w:p>
    <w:p>
      <w:pPr>
        <w:pStyle w:val="Normal"/>
        <w:rPr>
          <w:rFonts w:ascii="Helvetica" w:hAnsi="Helvetica" w:cs="Helvetica"/>
          <w:lang w:eastAsia="en-US"/>
        </w:rPr>
      </w:pPr>
      <w:r>
        <w:rPr>
          <w:rFonts w:cs="Helvetica" w:ascii="Helvetica" w:hAnsi="Helvetica"/>
          <w:lang w:eastAsia="en-US"/>
        </w:rPr>
        <w:t>Pleasanton, CA 94588</w:t>
      </w:r>
    </w:p>
    <w:p>
      <w:pPr>
        <w:pStyle w:val="Normal"/>
        <w:rPr>
          <w:rFonts w:ascii="Helvetica" w:hAnsi="Helvetica" w:cs="Helvetica"/>
          <w:lang w:eastAsia="en-US"/>
        </w:rPr>
      </w:pPr>
      <w:r>
        <w:rPr>
          <w:rFonts w:cs="Helvetica" w:ascii="Helvetica" w:hAnsi="Helvetica"/>
          <w:lang w:eastAsia="en-US"/>
        </w:rPr>
        <w:t>Telephone: 925.469.2355</w:t>
      </w:r>
    </w:p>
    <w:p>
      <w:pPr>
        <w:pStyle w:val="Normal"/>
        <w:rPr>
          <w:rFonts w:ascii="Helvetica" w:hAnsi="Helvetica" w:cs="Helvetica"/>
          <w:lang w:eastAsia="en-US"/>
        </w:rPr>
      </w:pPr>
      <w:r>
        <w:rPr>
          <w:rFonts w:cs="Helvetica" w:ascii="Helvetica" w:hAnsi="Helvetica"/>
          <w:lang w:eastAsia="en-US"/>
        </w:rPr>
        <w:t>Facsimile: 925.463.0490</w:t>
      </w:r>
    </w:p>
    <w:p>
      <w:pPr>
        <w:pStyle w:val="Normal"/>
        <w:rPr>
          <w:rFonts w:ascii="Helvetica-Bold" w:hAnsi="Helvetica-Bold" w:cs="Helvetica-Bold"/>
          <w:b/>
          <w:lang w:eastAsia="en-US"/>
        </w:rPr>
      </w:pPr>
      <w:r>
        <w:rPr>
          <w:rFonts w:cs="Helvetica-Bold" w:ascii="Helvetica-Bold" w:hAnsi="Helvetica-Bold"/>
          <w:b/>
          <w:lang w:eastAsia="en-US"/>
        </w:rPr>
        <w:t>Bill Carnahan</w:t>
      </w:r>
    </w:p>
    <w:p>
      <w:pPr>
        <w:pStyle w:val="Normal"/>
        <w:rPr>
          <w:rFonts w:ascii="Helvetica" w:hAnsi="Helvetica" w:cs="Helvetica"/>
          <w:lang w:eastAsia="en-US"/>
        </w:rPr>
      </w:pPr>
      <w:r>
        <w:rPr>
          <w:rFonts w:cs="Helvetica" w:ascii="Helvetica" w:hAnsi="Helvetica"/>
          <w:lang w:eastAsia="en-US"/>
        </w:rPr>
        <w:t>SCPPA</w:t>
      </w:r>
    </w:p>
    <w:p>
      <w:pPr>
        <w:pStyle w:val="Normal"/>
        <w:rPr>
          <w:rFonts w:ascii="Helvetica" w:hAnsi="Helvetica" w:cs="Helvetica"/>
          <w:lang w:eastAsia="en-US"/>
        </w:rPr>
      </w:pPr>
      <w:r>
        <w:rPr>
          <w:rFonts w:cs="Helvetica" w:ascii="Helvetica" w:hAnsi="Helvetica"/>
          <w:lang w:eastAsia="en-US"/>
        </w:rPr>
        <w:t>225 S. Lake Avenue Ste. 1410</w:t>
      </w:r>
    </w:p>
    <w:p>
      <w:pPr>
        <w:pStyle w:val="Normal"/>
        <w:rPr>
          <w:rFonts w:ascii="Helvetica" w:hAnsi="Helvetica" w:cs="Helvetica"/>
          <w:lang w:eastAsia="en-US"/>
        </w:rPr>
      </w:pPr>
      <w:r>
        <w:rPr>
          <w:rFonts w:cs="Helvetica" w:ascii="Helvetica" w:hAnsi="Helvetica"/>
          <w:lang w:eastAsia="en-US"/>
        </w:rPr>
        <w:t>Pasadena, CA 01101-3305</w:t>
      </w:r>
    </w:p>
    <w:p>
      <w:pPr>
        <w:pStyle w:val="Normal"/>
        <w:rPr>
          <w:rFonts w:ascii="Helvetica" w:hAnsi="Helvetica" w:cs="Helvetica"/>
          <w:lang w:eastAsia="en-US"/>
        </w:rPr>
      </w:pPr>
      <w:r>
        <w:rPr>
          <w:rFonts w:cs="Helvetica" w:ascii="Helvetica" w:hAnsi="Helvetica"/>
          <w:lang w:eastAsia="en-US"/>
        </w:rPr>
        <w:t>Telephone: 626.793.9364</w:t>
      </w:r>
    </w:p>
    <w:p>
      <w:pPr>
        <w:pStyle w:val="Normal"/>
        <w:rPr>
          <w:rFonts w:ascii="Helvetica" w:hAnsi="Helvetica" w:cs="Helvetica"/>
          <w:lang w:eastAsia="en-US"/>
        </w:rPr>
      </w:pPr>
      <w:r>
        <w:rPr>
          <w:rFonts w:cs="Helvetica" w:ascii="Helvetica" w:hAnsi="Helvetica"/>
          <w:lang w:eastAsia="en-US"/>
        </w:rPr>
        <w:t>Facsimile: 626.793.9461</w:t>
      </w:r>
    </w:p>
    <w:p>
      <w:pPr>
        <w:pStyle w:val="Normal"/>
        <w:rPr>
          <w:rFonts w:ascii="Helvetica-Bold" w:hAnsi="Helvetica-Bold" w:cs="Helvetica-Bold"/>
          <w:b/>
          <w:lang w:eastAsia="en-US"/>
        </w:rPr>
      </w:pPr>
      <w:r>
        <w:rPr>
          <w:rFonts w:cs="Helvetica-Bold" w:ascii="Helvetica-Bold" w:hAnsi="Helvetica-Bold"/>
          <w:b/>
          <w:lang w:eastAsia="en-US"/>
        </w:rPr>
        <w:t>Gary Cotton</w:t>
      </w:r>
    </w:p>
    <w:p>
      <w:pPr>
        <w:pStyle w:val="Normal"/>
        <w:rPr>
          <w:rFonts w:ascii="Helvetica" w:hAnsi="Helvetica" w:cs="Helvetica"/>
          <w:lang w:eastAsia="en-US"/>
        </w:rPr>
      </w:pPr>
      <w:r>
        <w:rPr>
          <w:rFonts w:cs="Helvetica" w:ascii="Helvetica" w:hAnsi="Helvetica"/>
          <w:lang w:eastAsia="en-US"/>
        </w:rPr>
        <w:t>San Diego Gas &amp; Electric</w:t>
      </w:r>
    </w:p>
    <w:p>
      <w:pPr>
        <w:pStyle w:val="Normal"/>
        <w:rPr>
          <w:rFonts w:ascii="Helvetica" w:hAnsi="Helvetica" w:cs="Helvetica"/>
          <w:lang w:eastAsia="en-US"/>
        </w:rPr>
      </w:pPr>
      <w:r>
        <w:rPr>
          <w:rFonts w:cs="Helvetica" w:ascii="Helvetica" w:hAnsi="Helvetica"/>
          <w:lang w:eastAsia="en-US"/>
        </w:rPr>
        <w:t>8330 Century Park Court</w:t>
      </w:r>
    </w:p>
    <w:p>
      <w:pPr>
        <w:pStyle w:val="Normal"/>
        <w:rPr>
          <w:rFonts w:ascii="Helvetica" w:hAnsi="Helvetica" w:cs="Helvetica"/>
          <w:lang w:eastAsia="en-US"/>
        </w:rPr>
      </w:pPr>
      <w:r>
        <w:rPr>
          <w:rFonts w:cs="Helvetica" w:ascii="Helvetica" w:hAnsi="Helvetica"/>
          <w:lang w:eastAsia="en-US"/>
        </w:rPr>
        <w:t>San Diego, CA 92123-1593</w:t>
      </w:r>
    </w:p>
    <w:p>
      <w:pPr>
        <w:pStyle w:val="Normal"/>
        <w:rPr>
          <w:rFonts w:ascii="Helvetica" w:hAnsi="Helvetica" w:cs="Helvetica"/>
          <w:lang w:eastAsia="en-US"/>
        </w:rPr>
      </w:pPr>
      <w:r>
        <w:rPr>
          <w:rFonts w:cs="Helvetica" w:ascii="Helvetica" w:hAnsi="Helvetica"/>
          <w:lang w:eastAsia="en-US"/>
        </w:rPr>
        <w:t>Telephone: 858.650.6102</w:t>
      </w:r>
    </w:p>
    <w:p>
      <w:pPr>
        <w:pStyle w:val="Normal"/>
        <w:rPr>
          <w:rFonts w:ascii="Helvetica" w:hAnsi="Helvetica" w:cs="Helvetica"/>
          <w:lang w:eastAsia="en-US"/>
        </w:rPr>
      </w:pPr>
      <w:r>
        <w:rPr>
          <w:rFonts w:cs="Helvetica" w:ascii="Helvetica" w:hAnsi="Helvetica"/>
          <w:lang w:eastAsia="en-US"/>
        </w:rPr>
        <w:t>Facsimile: 858.650.6106</w:t>
      </w:r>
    </w:p>
    <w:p>
      <w:pPr>
        <w:pStyle w:val="Normal"/>
        <w:rPr>
          <w:rFonts w:ascii="Helvetica-Bold" w:hAnsi="Helvetica-Bold" w:cs="Helvetica-Bold"/>
          <w:b/>
          <w:lang w:eastAsia="en-US"/>
        </w:rPr>
      </w:pPr>
      <w:r>
        <w:rPr>
          <w:rFonts w:cs="Helvetica-Bold" w:ascii="Helvetica-Bold" w:hAnsi="Helvetica-Bold"/>
          <w:b/>
          <w:lang w:eastAsia="en-US"/>
        </w:rPr>
        <w:t>Marcie Edwards</w:t>
      </w:r>
    </w:p>
    <w:p>
      <w:pPr>
        <w:pStyle w:val="Normal"/>
        <w:rPr>
          <w:rFonts w:ascii="Helvetica" w:hAnsi="Helvetica" w:cs="Helvetica"/>
          <w:lang w:eastAsia="en-US"/>
        </w:rPr>
      </w:pPr>
      <w:r>
        <w:rPr>
          <w:rFonts w:cs="Helvetica" w:ascii="Helvetica" w:hAnsi="Helvetica"/>
          <w:lang w:eastAsia="en-US"/>
        </w:rPr>
        <w:t>LA Department of Water &amp; Power</w:t>
      </w:r>
    </w:p>
    <w:p>
      <w:pPr>
        <w:pStyle w:val="Normal"/>
        <w:rPr>
          <w:rFonts w:ascii="Helvetica" w:hAnsi="Helvetica" w:cs="Helvetica"/>
          <w:lang w:eastAsia="en-US"/>
        </w:rPr>
      </w:pPr>
      <w:r>
        <w:rPr>
          <w:rFonts w:cs="Helvetica" w:ascii="Helvetica" w:hAnsi="Helvetica"/>
          <w:lang w:eastAsia="en-US"/>
        </w:rPr>
        <w:t>111 North Hope Street #1522</w:t>
      </w:r>
    </w:p>
    <w:p>
      <w:pPr>
        <w:pStyle w:val="Normal"/>
        <w:rPr>
          <w:rFonts w:ascii="Helvetica" w:hAnsi="Helvetica" w:cs="Helvetica"/>
          <w:lang w:eastAsia="en-US"/>
        </w:rPr>
      </w:pPr>
      <w:r>
        <w:rPr>
          <w:rFonts w:cs="Helvetica" w:ascii="Helvetica" w:hAnsi="Helvetica"/>
          <w:lang w:eastAsia="en-US"/>
        </w:rPr>
        <w:t>Los Angeles, CA 90012</w:t>
      </w:r>
    </w:p>
    <w:p>
      <w:pPr>
        <w:pStyle w:val="Normal"/>
        <w:rPr>
          <w:rFonts w:ascii="Helvetica" w:hAnsi="Helvetica" w:cs="Helvetica"/>
          <w:lang w:eastAsia="en-US"/>
        </w:rPr>
      </w:pPr>
      <w:r>
        <w:rPr>
          <w:rFonts w:cs="Helvetica" w:ascii="Helvetica" w:hAnsi="Helvetica"/>
          <w:lang w:eastAsia="en-US"/>
        </w:rPr>
        <w:t>Telephone: 213.367.4211</w:t>
      </w:r>
    </w:p>
    <w:p>
      <w:pPr>
        <w:pStyle w:val="Normal"/>
        <w:rPr>
          <w:rFonts w:ascii="Helvetica" w:hAnsi="Helvetica" w:cs="Helvetica"/>
          <w:lang w:eastAsia="en-US"/>
        </w:rPr>
      </w:pPr>
      <w:r>
        <w:rPr>
          <w:rFonts w:cs="Helvetica" w:ascii="Helvetica" w:hAnsi="Helvetica"/>
          <w:lang w:eastAsia="en-US"/>
        </w:rPr>
        <w:t>Facsimile: 213.367.1464</w:t>
      </w:r>
    </w:p>
    <w:p>
      <w:pPr>
        <w:pStyle w:val="Normal"/>
        <w:rPr>
          <w:rFonts w:ascii="Helvetica-Bold" w:hAnsi="Helvetica-Bold" w:cs="Helvetica-Bold"/>
          <w:b/>
          <w:lang w:eastAsia="en-US"/>
        </w:rPr>
      </w:pPr>
      <w:r>
        <w:rPr>
          <w:rFonts w:cs="Helvetica-Bold" w:ascii="Helvetica-Bold" w:hAnsi="Helvetica-Bold"/>
          <w:b/>
          <w:lang w:eastAsia="en-US"/>
        </w:rPr>
        <w:t>Richard Ferreira</w:t>
      </w:r>
    </w:p>
    <w:p>
      <w:pPr>
        <w:pStyle w:val="Normal"/>
        <w:rPr>
          <w:rFonts w:ascii="Helvetica" w:hAnsi="Helvetica" w:cs="Helvetica"/>
          <w:lang w:eastAsia="en-US"/>
        </w:rPr>
      </w:pPr>
      <w:r>
        <w:rPr>
          <w:rFonts w:cs="Helvetica" w:ascii="Helvetica" w:hAnsi="Helvetica"/>
          <w:lang w:eastAsia="en-US"/>
        </w:rPr>
        <w:t>Sacramento Municipal Utility District</w:t>
      </w:r>
    </w:p>
    <w:p>
      <w:pPr>
        <w:pStyle w:val="Normal"/>
        <w:rPr>
          <w:rFonts w:ascii="Helvetica" w:hAnsi="Helvetica" w:cs="Helvetica"/>
          <w:lang w:eastAsia="en-US"/>
        </w:rPr>
      </w:pPr>
      <w:r>
        <w:rPr>
          <w:rFonts w:cs="Helvetica" w:ascii="Helvetica" w:hAnsi="Helvetica"/>
          <w:lang w:eastAsia="en-US"/>
        </w:rPr>
        <w:t>6201 S Street</w:t>
      </w:r>
    </w:p>
    <w:p>
      <w:pPr>
        <w:pStyle w:val="Normal"/>
        <w:rPr>
          <w:rFonts w:ascii="Helvetica" w:hAnsi="Helvetica" w:cs="Helvetica"/>
          <w:lang w:eastAsia="en-US"/>
        </w:rPr>
      </w:pPr>
      <w:r>
        <w:rPr>
          <w:rFonts w:cs="Helvetica" w:ascii="Helvetica" w:hAnsi="Helvetica"/>
          <w:lang w:eastAsia="en-US"/>
        </w:rPr>
        <w:t>Sacramento, CA 95817</w:t>
      </w:r>
    </w:p>
    <w:p>
      <w:pPr>
        <w:pStyle w:val="Normal"/>
        <w:rPr>
          <w:rFonts w:ascii="Helvetica" w:hAnsi="Helvetica" w:cs="Helvetica"/>
          <w:lang w:eastAsia="en-US"/>
        </w:rPr>
      </w:pPr>
      <w:r>
        <w:rPr>
          <w:rFonts w:cs="Helvetica" w:ascii="Helvetica" w:hAnsi="Helvetica"/>
          <w:lang w:eastAsia="en-US"/>
        </w:rPr>
        <w:t>Telephone: 916.452.3211</w:t>
      </w:r>
    </w:p>
    <w:p>
      <w:pPr>
        <w:pStyle w:val="Normal"/>
        <w:rPr>
          <w:rFonts w:ascii="Helvetica" w:hAnsi="Helvetica" w:cs="Helvetica"/>
          <w:lang w:eastAsia="en-US"/>
        </w:rPr>
      </w:pPr>
      <w:r>
        <w:rPr>
          <w:rFonts w:cs="Helvetica" w:ascii="Helvetica" w:hAnsi="Helvetica"/>
          <w:lang w:eastAsia="en-US"/>
        </w:rPr>
        <w:t>Facsimile: 916.732.6562</w:t>
      </w:r>
    </w:p>
    <w:p>
      <w:pPr>
        <w:pStyle w:val="Normal"/>
        <w:rPr>
          <w:rFonts w:ascii="Helvetica-Bold" w:hAnsi="Helvetica-Bold" w:cs="Helvetica-Bold"/>
          <w:b/>
          <w:lang w:eastAsia="en-US"/>
        </w:rPr>
      </w:pPr>
      <w:r>
        <w:rPr>
          <w:rFonts w:cs="Helvetica-Bold" w:ascii="Helvetica-Bold" w:hAnsi="Helvetica-Bold"/>
          <w:b/>
          <w:lang w:eastAsia="en-US"/>
        </w:rPr>
        <w:t>John Fielder</w:t>
      </w:r>
    </w:p>
    <w:p>
      <w:pPr>
        <w:pStyle w:val="Normal"/>
        <w:rPr>
          <w:rFonts w:ascii="Helvetica" w:hAnsi="Helvetica" w:cs="Helvetica"/>
          <w:lang w:eastAsia="en-US"/>
        </w:rPr>
      </w:pPr>
      <w:r>
        <w:rPr>
          <w:rFonts w:cs="Helvetica" w:ascii="Helvetica" w:hAnsi="Helvetica"/>
          <w:lang w:eastAsia="en-US"/>
        </w:rPr>
        <w:t>Southern California Edison</w:t>
      </w:r>
    </w:p>
    <w:p>
      <w:pPr>
        <w:pStyle w:val="Normal"/>
        <w:rPr>
          <w:rFonts w:ascii="Helvetica" w:hAnsi="Helvetica" w:cs="Helvetica"/>
          <w:lang w:eastAsia="en-US"/>
        </w:rPr>
      </w:pPr>
      <w:r>
        <w:rPr>
          <w:rFonts w:cs="Helvetica" w:ascii="Helvetica" w:hAnsi="Helvetica"/>
          <w:lang w:eastAsia="en-US"/>
        </w:rPr>
        <w:t>2244 Walnut Grove</w:t>
      </w:r>
    </w:p>
    <w:p>
      <w:pPr>
        <w:pStyle w:val="Normal"/>
        <w:rPr>
          <w:rFonts w:ascii="Helvetica" w:hAnsi="Helvetica" w:cs="Helvetica"/>
          <w:lang w:eastAsia="en-US"/>
        </w:rPr>
      </w:pPr>
      <w:r>
        <w:rPr>
          <w:rFonts w:cs="Helvetica" w:ascii="Helvetica" w:hAnsi="Helvetica"/>
          <w:lang w:eastAsia="en-US"/>
        </w:rPr>
        <w:t>Rosemead, CA 91770-3714</w:t>
      </w:r>
    </w:p>
    <w:p>
      <w:pPr>
        <w:pStyle w:val="Normal"/>
        <w:rPr>
          <w:rFonts w:ascii="Helvetica" w:hAnsi="Helvetica" w:cs="Helvetica"/>
          <w:lang w:eastAsia="en-US"/>
        </w:rPr>
      </w:pPr>
      <w:r>
        <w:rPr>
          <w:rFonts w:cs="Helvetica" w:ascii="Helvetica" w:hAnsi="Helvetica"/>
          <w:lang w:eastAsia="en-US"/>
        </w:rPr>
        <w:t>Telephone: 626.302.3440</w:t>
      </w:r>
    </w:p>
    <w:p>
      <w:pPr>
        <w:pStyle w:val="Normal"/>
        <w:rPr>
          <w:rFonts w:ascii="Helvetica" w:hAnsi="Helvetica" w:cs="Helvetica"/>
          <w:lang w:eastAsia="en-US"/>
        </w:rPr>
      </w:pPr>
      <w:r>
        <w:rPr>
          <w:rFonts w:cs="Helvetica" w:ascii="Helvetica" w:hAnsi="Helvetica"/>
          <w:lang w:eastAsia="en-US"/>
        </w:rPr>
        <w:t>Facsimile: 626.302.2970</w:t>
      </w:r>
    </w:p>
    <w:p>
      <w:pPr>
        <w:pStyle w:val="Normal"/>
        <w:rPr>
          <w:rFonts w:ascii="Helvetica-Bold" w:hAnsi="Helvetica-Bold" w:cs="Helvetica-Bold"/>
          <w:b/>
          <w:lang w:eastAsia="en-US"/>
        </w:rPr>
      </w:pPr>
      <w:r>
        <w:rPr>
          <w:rFonts w:cs="Helvetica-Bold" w:ascii="Helvetica-Bold" w:hAnsi="Helvetica-Bold"/>
          <w:b/>
          <w:lang w:eastAsia="en-US"/>
        </w:rPr>
        <w:t>Mike Florio</w:t>
      </w:r>
    </w:p>
    <w:p>
      <w:pPr>
        <w:pStyle w:val="Normal"/>
        <w:rPr>
          <w:rFonts w:ascii="Helvetica" w:hAnsi="Helvetica" w:cs="Helvetica"/>
          <w:lang w:eastAsia="en-US"/>
        </w:rPr>
      </w:pPr>
      <w:r>
        <w:rPr>
          <w:rFonts w:cs="Helvetica" w:ascii="Helvetica" w:hAnsi="Helvetica"/>
          <w:lang w:eastAsia="en-US"/>
        </w:rPr>
        <w:t>The Utility Reform Network (TURN)</w:t>
      </w:r>
    </w:p>
    <w:p>
      <w:pPr>
        <w:pStyle w:val="Normal"/>
        <w:rPr>
          <w:rFonts w:ascii="Helvetica" w:hAnsi="Helvetica" w:cs="Helvetica"/>
          <w:lang w:eastAsia="en-US"/>
        </w:rPr>
      </w:pPr>
      <w:r>
        <w:rPr>
          <w:rFonts w:cs="Helvetica" w:ascii="Helvetica" w:hAnsi="Helvetica"/>
          <w:lang w:eastAsia="en-US"/>
        </w:rPr>
        <w:t>711 Van Ness Avenue, Suite 350</w:t>
      </w:r>
    </w:p>
    <w:p>
      <w:pPr>
        <w:pStyle w:val="Normal"/>
        <w:rPr>
          <w:rFonts w:ascii="Helvetica" w:hAnsi="Helvetica" w:cs="Helvetica"/>
          <w:lang w:eastAsia="en-US"/>
        </w:rPr>
      </w:pPr>
      <w:r>
        <w:rPr>
          <w:rFonts w:cs="Helvetica" w:ascii="Helvetica" w:hAnsi="Helvetica"/>
          <w:lang w:eastAsia="en-US"/>
        </w:rPr>
        <w:t>San Francisco, CA 94105</w:t>
      </w:r>
    </w:p>
    <w:p>
      <w:pPr>
        <w:pStyle w:val="Normal"/>
        <w:rPr>
          <w:rFonts w:ascii="Helvetica" w:hAnsi="Helvetica" w:cs="Helvetica"/>
          <w:lang w:eastAsia="en-US"/>
        </w:rPr>
      </w:pPr>
      <w:r>
        <w:rPr>
          <w:rFonts w:cs="Helvetica" w:ascii="Helvetica" w:hAnsi="Helvetica"/>
          <w:lang w:eastAsia="en-US"/>
        </w:rPr>
        <w:t>Telephone: 415.929.8876 xt302</w:t>
      </w:r>
    </w:p>
    <w:p>
      <w:pPr>
        <w:pStyle w:val="Normal"/>
        <w:rPr>
          <w:rFonts w:ascii="Helvetica" w:hAnsi="Helvetica" w:cs="Helvetica"/>
          <w:lang w:eastAsia="en-US"/>
        </w:rPr>
      </w:pPr>
      <w:r>
        <w:rPr>
          <w:rFonts w:cs="Helvetica" w:ascii="Helvetica" w:hAnsi="Helvetica"/>
          <w:lang w:eastAsia="en-US"/>
        </w:rPr>
        <w:t>Facsimile: 415.929.1132</w:t>
      </w:r>
    </w:p>
    <w:p>
      <w:pPr>
        <w:pStyle w:val="Normal"/>
        <w:rPr>
          <w:rFonts w:ascii="Helvetica-Bold" w:hAnsi="Helvetica-Bold" w:cs="Helvetica-Bold"/>
          <w:b/>
          <w:lang w:eastAsia="en-US"/>
        </w:rPr>
      </w:pPr>
      <w:r>
        <w:rPr>
          <w:rFonts w:cs="Helvetica-Bold" w:ascii="Helvetica-Bold" w:hAnsi="Helvetica-Bold"/>
          <w:b/>
          <w:lang w:eastAsia="en-US"/>
        </w:rPr>
        <w:t>Dede Hapner</w:t>
      </w:r>
    </w:p>
    <w:p>
      <w:pPr>
        <w:pStyle w:val="Normal"/>
        <w:rPr>
          <w:rFonts w:ascii="Helvetica" w:hAnsi="Helvetica" w:cs="Helvetica"/>
          <w:lang w:eastAsia="en-US"/>
        </w:rPr>
      </w:pPr>
      <w:r>
        <w:rPr>
          <w:rFonts w:cs="Helvetica" w:ascii="Helvetica" w:hAnsi="Helvetica"/>
          <w:lang w:eastAsia="en-US"/>
        </w:rPr>
        <w:t>Pacific Gas &amp; Electric</w:t>
      </w:r>
    </w:p>
    <w:p>
      <w:pPr>
        <w:pStyle w:val="Normal"/>
        <w:rPr>
          <w:rFonts w:ascii="Helvetica" w:hAnsi="Helvetica" w:cs="Helvetica"/>
          <w:lang w:eastAsia="en-US"/>
        </w:rPr>
      </w:pPr>
      <w:r>
        <w:rPr>
          <w:rFonts w:cs="Helvetica" w:ascii="Helvetica" w:hAnsi="Helvetica"/>
          <w:lang w:eastAsia="en-US"/>
        </w:rPr>
        <w:t>77 Beale Street, B10A</w:t>
      </w:r>
    </w:p>
    <w:p>
      <w:pPr>
        <w:pStyle w:val="Normal"/>
        <w:rPr>
          <w:rFonts w:ascii="Helvetica" w:hAnsi="Helvetica" w:cs="Helvetica"/>
          <w:lang w:eastAsia="en-US"/>
        </w:rPr>
      </w:pPr>
      <w:r>
        <w:rPr>
          <w:rFonts w:cs="Helvetica" w:ascii="Helvetica" w:hAnsi="Helvetica"/>
          <w:lang w:eastAsia="en-US"/>
        </w:rPr>
        <w:t>San Francisco, CA 94105</w:t>
      </w:r>
    </w:p>
    <w:p>
      <w:pPr>
        <w:pStyle w:val="Normal"/>
        <w:rPr>
          <w:rFonts w:ascii="Helvetica" w:hAnsi="Helvetica" w:cs="Helvetica"/>
          <w:lang w:eastAsia="en-US"/>
        </w:rPr>
      </w:pPr>
      <w:r>
        <w:rPr>
          <w:rFonts w:cs="Helvetica" w:ascii="Helvetica" w:hAnsi="Helvetica"/>
          <w:lang w:eastAsia="en-US"/>
        </w:rPr>
        <w:t>Telephone: 415.972.5209</w:t>
      </w:r>
    </w:p>
    <w:p>
      <w:pPr>
        <w:pStyle w:val="Normal"/>
        <w:rPr>
          <w:rFonts w:ascii="Helvetica" w:hAnsi="Helvetica" w:cs="Helvetica"/>
          <w:lang w:eastAsia="en-US"/>
        </w:rPr>
      </w:pPr>
      <w:r>
        <w:rPr>
          <w:rFonts w:cs="Helvetica" w:ascii="Helvetica" w:hAnsi="Helvetica"/>
          <w:lang w:eastAsia="en-US"/>
        </w:rPr>
        <w:t>Facsimile: 415.972.5625</w:t>
      </w:r>
    </w:p>
    <w:p>
      <w:pPr>
        <w:pStyle w:val="Normal"/>
        <w:rPr>
          <w:rFonts w:ascii="Helvetica-Bold" w:hAnsi="Helvetica-Bold" w:cs="Helvetica-Bold"/>
          <w:b/>
          <w:lang w:eastAsia="en-US"/>
        </w:rPr>
      </w:pPr>
      <w:r>
        <w:rPr>
          <w:rFonts w:cs="Helvetica-Bold" w:ascii="Helvetica-Bold" w:hAnsi="Helvetica-Bold"/>
          <w:b/>
          <w:lang w:eastAsia="en-US"/>
        </w:rPr>
        <w:t>Timothy Hay- Adv. Board Member</w:t>
      </w:r>
    </w:p>
    <w:p>
      <w:pPr>
        <w:pStyle w:val="Normal"/>
        <w:rPr>
          <w:rFonts w:ascii="Helvetica" w:hAnsi="Helvetica" w:cs="Helvetica"/>
          <w:lang w:eastAsia="en-US"/>
        </w:rPr>
      </w:pPr>
      <w:r>
        <w:rPr>
          <w:rFonts w:cs="Helvetica" w:ascii="Helvetica" w:hAnsi="Helvetica"/>
          <w:lang w:eastAsia="en-US"/>
        </w:rPr>
        <w:t>978 Ridgeview Drive</w:t>
      </w:r>
    </w:p>
    <w:p>
      <w:pPr>
        <w:pStyle w:val="Normal"/>
        <w:rPr>
          <w:rFonts w:ascii="Helvetica" w:hAnsi="Helvetica" w:cs="Helvetica"/>
          <w:lang w:eastAsia="en-US"/>
        </w:rPr>
      </w:pPr>
      <w:r>
        <w:rPr>
          <w:rFonts w:cs="Helvetica" w:ascii="Helvetica" w:hAnsi="Helvetica"/>
          <w:lang w:eastAsia="en-US"/>
        </w:rPr>
        <w:t>Reno, NV 89511</w:t>
      </w:r>
    </w:p>
    <w:p>
      <w:pPr>
        <w:pStyle w:val="Normal"/>
        <w:rPr>
          <w:rFonts w:ascii="Helvetica" w:hAnsi="Helvetica" w:cs="Helvetica"/>
          <w:lang w:eastAsia="en-US"/>
        </w:rPr>
      </w:pPr>
      <w:r>
        <w:rPr>
          <w:rFonts w:cs="Helvetica" w:ascii="Helvetica" w:hAnsi="Helvetica"/>
          <w:lang w:eastAsia="en-US"/>
        </w:rPr>
        <w:t>Telephone: 775.829.2800</w:t>
      </w:r>
    </w:p>
    <w:p>
      <w:pPr>
        <w:pStyle w:val="Normal"/>
        <w:rPr>
          <w:rFonts w:ascii="Helvetica" w:hAnsi="Helvetica" w:cs="Helvetica"/>
          <w:lang w:eastAsia="en-US"/>
        </w:rPr>
      </w:pPr>
      <w:r>
        <w:rPr>
          <w:rFonts w:cs="Helvetica" w:ascii="Helvetica" w:hAnsi="Helvetica"/>
          <w:lang w:eastAsia="en-US"/>
        </w:rPr>
        <w:t>Facsimile: 775.829.1006</w:t>
      </w:r>
    </w:p>
    <w:p>
      <w:pPr>
        <w:pStyle w:val="Normal"/>
        <w:rPr>
          <w:rFonts w:ascii="Helvetica-Bold" w:hAnsi="Helvetica-Bold" w:cs="Helvetica-Bold"/>
          <w:b/>
          <w:lang w:eastAsia="en-US"/>
        </w:rPr>
      </w:pPr>
      <w:r>
        <w:rPr>
          <w:rFonts w:cs="Helvetica-Bold" w:ascii="Helvetica-Bold" w:hAnsi="Helvetica-Bold"/>
          <w:b/>
          <w:lang w:eastAsia="en-US"/>
        </w:rPr>
        <w:t>Karen Johanson</w:t>
      </w:r>
    </w:p>
    <w:p>
      <w:pPr>
        <w:pStyle w:val="Normal"/>
        <w:rPr>
          <w:rFonts w:ascii="Helvetica" w:hAnsi="Helvetica" w:cs="Helvetica"/>
          <w:lang w:eastAsia="en-US"/>
        </w:rPr>
      </w:pPr>
      <w:r>
        <w:rPr>
          <w:rFonts w:cs="Helvetica" w:ascii="Helvetica" w:hAnsi="Helvetica"/>
          <w:lang w:eastAsia="en-US"/>
        </w:rPr>
        <w:t>League of Woman Voters</w:t>
      </w:r>
    </w:p>
    <w:p>
      <w:pPr>
        <w:pStyle w:val="Normal"/>
        <w:rPr>
          <w:rFonts w:ascii="Helvetica" w:hAnsi="Helvetica" w:cs="Helvetica"/>
          <w:lang w:eastAsia="en-US"/>
        </w:rPr>
      </w:pPr>
      <w:r>
        <w:rPr>
          <w:rFonts w:cs="Helvetica" w:ascii="Helvetica" w:hAnsi="Helvetica"/>
          <w:lang w:eastAsia="en-US"/>
        </w:rPr>
        <w:t>45962 Corte Carmello</w:t>
      </w:r>
    </w:p>
    <w:p>
      <w:pPr>
        <w:pStyle w:val="Normal"/>
        <w:rPr>
          <w:rFonts w:ascii="Helvetica" w:hAnsi="Helvetica" w:cs="Helvetica"/>
          <w:lang w:eastAsia="en-US"/>
        </w:rPr>
      </w:pPr>
      <w:r>
        <w:rPr>
          <w:rFonts w:cs="Helvetica" w:ascii="Helvetica" w:hAnsi="Helvetica"/>
          <w:lang w:eastAsia="en-US"/>
        </w:rPr>
        <w:t>Temecula, CA 92592</w:t>
      </w:r>
    </w:p>
    <w:p>
      <w:pPr>
        <w:pStyle w:val="Normal"/>
        <w:rPr>
          <w:rFonts w:ascii="Helvetica" w:hAnsi="Helvetica" w:cs="Helvetica"/>
          <w:lang w:eastAsia="en-US"/>
        </w:rPr>
      </w:pPr>
      <w:r>
        <w:rPr>
          <w:rFonts w:cs="Helvetica" w:ascii="Helvetica" w:hAnsi="Helvetica"/>
          <w:lang w:eastAsia="en-US"/>
        </w:rPr>
        <w:t>Telephone: 909.303.0459</w:t>
      </w:r>
    </w:p>
    <w:p>
      <w:pPr>
        <w:pStyle w:val="Normal"/>
        <w:rPr>
          <w:rFonts w:ascii="Helvetica" w:hAnsi="Helvetica" w:cs="Helvetica"/>
          <w:lang w:eastAsia="en-US"/>
        </w:rPr>
      </w:pPr>
      <w:r>
        <w:rPr>
          <w:rFonts w:cs="Helvetica" w:ascii="Helvetica" w:hAnsi="Helvetica"/>
          <w:lang w:eastAsia="en-US"/>
        </w:rPr>
        <w:t>Facsimile: 909.303.0549</w:t>
      </w:r>
    </w:p>
    <w:p>
      <w:pPr>
        <w:pStyle w:val="Normal"/>
        <w:rPr>
          <w:rFonts w:ascii="Helvetica-Bold" w:hAnsi="Helvetica-Bold" w:cs="Helvetica-Bold"/>
          <w:b/>
          <w:lang w:eastAsia="en-US"/>
        </w:rPr>
      </w:pPr>
      <w:r>
        <w:rPr>
          <w:rFonts w:cs="Helvetica-Bold" w:ascii="Helvetica-Bold" w:hAnsi="Helvetica-Bold"/>
          <w:b/>
          <w:lang w:eastAsia="en-US"/>
        </w:rPr>
        <w:t>Stephen Kashiwada</w:t>
      </w:r>
    </w:p>
    <w:p>
      <w:pPr>
        <w:pStyle w:val="Normal"/>
        <w:rPr>
          <w:rFonts w:ascii="Helvetica" w:hAnsi="Helvetica" w:cs="Helvetica"/>
          <w:lang w:eastAsia="en-US"/>
        </w:rPr>
      </w:pPr>
      <w:r>
        <w:rPr>
          <w:rFonts w:cs="Helvetica" w:ascii="Helvetica" w:hAnsi="Helvetica"/>
          <w:lang w:eastAsia="en-US"/>
        </w:rPr>
        <w:t>Department of Water Resources</w:t>
      </w:r>
    </w:p>
    <w:p>
      <w:pPr>
        <w:pStyle w:val="Normal"/>
        <w:rPr>
          <w:rFonts w:ascii="Helvetica" w:hAnsi="Helvetica" w:cs="Helvetica"/>
          <w:lang w:eastAsia="en-US"/>
        </w:rPr>
      </w:pPr>
      <w:r>
        <w:rPr>
          <w:rFonts w:cs="Helvetica" w:ascii="Helvetica" w:hAnsi="Helvetica"/>
          <w:lang w:eastAsia="en-US"/>
        </w:rPr>
        <w:t>1416 Ninth Street, Room 1115-9</w:t>
      </w:r>
    </w:p>
    <w:p>
      <w:pPr>
        <w:pStyle w:val="Normal"/>
        <w:rPr>
          <w:rFonts w:ascii="Helvetica" w:hAnsi="Helvetica" w:cs="Helvetica"/>
          <w:lang w:eastAsia="en-US"/>
        </w:rPr>
      </w:pPr>
      <w:r>
        <w:rPr>
          <w:rFonts w:cs="Helvetica" w:ascii="Helvetica" w:hAnsi="Helvetica"/>
          <w:lang w:eastAsia="en-US"/>
        </w:rPr>
        <w:t>Sacramento, CA 95814</w:t>
      </w:r>
    </w:p>
    <w:p>
      <w:pPr>
        <w:pStyle w:val="Normal"/>
        <w:rPr>
          <w:rFonts w:ascii="Helvetica" w:hAnsi="Helvetica" w:cs="Helvetica"/>
          <w:lang w:eastAsia="en-US"/>
        </w:rPr>
      </w:pPr>
      <w:r>
        <w:rPr>
          <w:rFonts w:cs="Helvetica" w:ascii="Helvetica" w:hAnsi="Helvetica"/>
          <w:lang w:eastAsia="en-US"/>
        </w:rPr>
        <w:t>Telephone: 916.653.7092</w:t>
      </w:r>
    </w:p>
    <w:p>
      <w:pPr>
        <w:pStyle w:val="Normal"/>
        <w:rPr>
          <w:rFonts w:ascii="Helvetica" w:hAnsi="Helvetica" w:cs="Helvetica"/>
          <w:lang w:eastAsia="en-US"/>
        </w:rPr>
      </w:pPr>
      <w:r>
        <w:rPr>
          <w:rFonts w:cs="Helvetica" w:ascii="Helvetica" w:hAnsi="Helvetica"/>
          <w:lang w:eastAsia="en-US"/>
        </w:rPr>
        <w:t>Facsimile: 916.657.4239</w:t>
      </w:r>
    </w:p>
    <w:p>
      <w:pPr>
        <w:pStyle w:val="Normal"/>
        <w:rPr>
          <w:rFonts w:ascii="Helvetica-Bold" w:hAnsi="Helvetica-Bold" w:cs="Helvetica-Bold"/>
          <w:b/>
          <w:lang w:eastAsia="en-US"/>
        </w:rPr>
      </w:pPr>
      <w:r>
        <w:rPr>
          <w:rFonts w:cs="Helvetica-Bold" w:ascii="Helvetica-Bold" w:hAnsi="Helvetica-Bold"/>
          <w:b/>
          <w:lang w:eastAsia="en-US"/>
        </w:rPr>
        <w:t>Carolyn Kehrein</w:t>
      </w:r>
    </w:p>
    <w:p>
      <w:pPr>
        <w:pStyle w:val="Normal"/>
        <w:rPr>
          <w:rFonts w:ascii="Helvetica" w:hAnsi="Helvetica" w:cs="Helvetica"/>
          <w:lang w:eastAsia="en-US"/>
        </w:rPr>
      </w:pPr>
      <w:r>
        <w:rPr>
          <w:rFonts w:cs="Helvetica" w:ascii="Helvetica" w:hAnsi="Helvetica"/>
          <w:lang w:eastAsia="en-US"/>
        </w:rPr>
        <w:t>Energy Management Services</w:t>
      </w:r>
    </w:p>
    <w:p>
      <w:pPr>
        <w:pStyle w:val="Normal"/>
        <w:rPr>
          <w:rFonts w:ascii="Helvetica" w:hAnsi="Helvetica" w:cs="Helvetica"/>
          <w:lang w:eastAsia="en-US"/>
        </w:rPr>
      </w:pPr>
      <w:r>
        <w:rPr>
          <w:rFonts w:cs="Helvetica" w:ascii="Helvetica" w:hAnsi="Helvetica"/>
          <w:lang w:eastAsia="en-US"/>
        </w:rPr>
        <w:t>1505 Dunlap Court</w:t>
      </w:r>
    </w:p>
    <w:p>
      <w:pPr>
        <w:pStyle w:val="Normal"/>
        <w:rPr>
          <w:rFonts w:ascii="Helvetica" w:hAnsi="Helvetica" w:cs="Helvetica"/>
          <w:lang w:eastAsia="en-US"/>
        </w:rPr>
      </w:pPr>
      <w:r>
        <w:rPr>
          <w:rFonts w:cs="Helvetica" w:ascii="Helvetica" w:hAnsi="Helvetica"/>
          <w:lang w:eastAsia="en-US"/>
        </w:rPr>
        <w:t>Dixon, CA 95620-4208</w:t>
      </w:r>
    </w:p>
    <w:p>
      <w:pPr>
        <w:pStyle w:val="Normal"/>
        <w:rPr>
          <w:rFonts w:ascii="Helvetica" w:hAnsi="Helvetica" w:cs="Helvetica"/>
          <w:lang w:eastAsia="en-US"/>
        </w:rPr>
      </w:pPr>
      <w:r>
        <w:rPr>
          <w:rFonts w:cs="Helvetica" w:ascii="Helvetica" w:hAnsi="Helvetica"/>
          <w:lang w:eastAsia="en-US"/>
        </w:rPr>
        <w:t>Telephone: 707.678.9506</w:t>
      </w:r>
    </w:p>
    <w:p>
      <w:pPr>
        <w:pStyle w:val="Normal"/>
        <w:rPr>
          <w:rFonts w:ascii="Helvetica" w:hAnsi="Helvetica" w:cs="Helvetica"/>
          <w:lang w:eastAsia="en-US"/>
        </w:rPr>
      </w:pPr>
      <w:r>
        <w:rPr>
          <w:rFonts w:cs="Helvetica" w:ascii="Helvetica" w:hAnsi="Helvetica"/>
          <w:lang w:eastAsia="en-US"/>
        </w:rPr>
        <w:t>Facsimile: 707678.2329</w:t>
      </w:r>
    </w:p>
    <w:p>
      <w:pPr>
        <w:pStyle w:val="BodyText"/>
        <w:spacing w:before="0" w:after="160"/>
        <w:rPr/>
      </w:pPr>
      <w:r>
        <w:rPr/>
      </w:r>
    </w:p>
    <w:sectPr>
      <w:headerReference w:type="default" r:id="rId2"/>
      <w:headerReference w:type="first" r:id="rId3"/>
      <w:footerReference w:type="default" r:id="rId4"/>
      <w:footerReference w:type="first" r:id="rId5"/>
      <w:footnotePr>
        <w:numFmt w:val="decimal"/>
        <w:numRestart w:val="eachPage"/>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Narrow">
    <w:charset w:val="00" w:characterSet="windows-1252"/>
    <w:family w:val="swiss"/>
    <w:pitch w:val="variable"/>
  </w:font>
  <w:font w:name="Helvetica-Oblique">
    <w:charset w:val="00" w:characterSet="windows-1252"/>
    <w:family w:val="swiss"/>
    <w:pitch w:val="default"/>
  </w:font>
  <w:font w:name="Helvetica-BoldOblique">
    <w:charset w:val="00" w:characterSet="windows-1252"/>
    <w:family w:val="swiss"/>
    <w:pitch w:val="default"/>
  </w:font>
  <w:font w:name="Helvetica-Bold">
    <w:charset w:val="00" w:characterSet="windows-1252"/>
    <w:family w:val="swiss"/>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8496" w:leader="none"/>
      </w:tabs>
      <w:rPr/>
    </w:pPr>
    <w:r>
      <w:rPr/>
      <w:t>07/13/00</w:t>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8496" w:leader="none"/>
      </w:tabs>
      <w:rPr/>
    </w:pPr>
    <w:r>
      <w:rPr/>
      <w:t>07/13/00</w:t>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i/>
          <w:sz w:val="20"/>
        </w:rPr>
        <w:t>California Independent System Operator</w:t>
      </w:r>
      <w:r>
        <w:rPr>
          <w:sz w:val="20"/>
        </w:rPr>
        <w:t>, 89 FERC ¶ 61,169 (1999).   We assume the ISO will file mid-September to extend the price cap (along with the unilateral right to lower it) using the recent price spikes as evidence that the market is not workably competitive.</w:t>
      </w:r>
    </w:p>
  </w:footnote>
  <w:footnote w:id="3">
    <w:p>
      <w:pPr>
        <w:pStyle w:val="FootnoteText"/>
        <w:spacing w:before="0" w:after="120"/>
        <w:rPr/>
      </w:pPr>
      <w:r>
        <w:rPr>
          <w:rStyle w:val="FootnoteCharacters"/>
        </w:rPr>
        <w:footnoteRef/>
      </w:r>
      <w:r>
        <w:rPr>
          <w:sz w:val="20"/>
        </w:rPr>
        <w:t xml:space="preserve"> </w:t>
      </w:r>
      <w:r>
        <w:rPr>
          <w:sz w:val="20"/>
        </w:rPr>
        <w:t>This letter explains the resignation of one of the Cal ISO Board members due to the political pressure exerted on her in exercising her vote.</w:t>
      </w:r>
    </w:p>
  </w:footnote>
  <w:footnote w:id="4">
    <w:p>
      <w:pPr>
        <w:pStyle w:val="FootnoteText"/>
        <w:spacing w:before="0" w:after="120"/>
        <w:rPr/>
      </w:pPr>
      <w:r>
        <w:rPr>
          <w:rStyle w:val="FootnoteCharacters"/>
        </w:rPr>
        <w:footnoteRef/>
      </w:r>
      <w:r>
        <w:rPr>
          <w:sz w:val="20"/>
        </w:rPr>
        <w:t xml:space="preserve"> </w:t>
      </w:r>
      <w:r>
        <w:rPr>
          <w:sz w:val="20"/>
        </w:rPr>
        <w:t>We can mitigate this risk by not doing deals with other counterparties when we think the load cap will be reached.   However, this undermines some of the value of our being the SC for these projects.  This loss of value would provide the proof of irreparable harm for a stay assuming that EPMI does not have a contractual right to sue the ISO for this difference in value.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496" w:leader="none"/>
      </w:tabs>
      <w:rPr/>
    </w:pPr>
    <w:r>
      <w:rPr/>
      <w:tab/>
      <w:t>M E M O R A N D U M</w:t>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rPr>
        <w:sz w:val="24"/>
      </w:rPr>
    </w:pPr>
    <w:r>
      <w:rPr>
        <w:sz w:val="24"/>
      </w:rPr>
      <w:tab/>
      <w:t>M E M O R A N D U 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upperLetter"/>
      <w:lvlText w:val="%1."/>
      <w:lvlJc w:val="start"/>
      <w:pPr>
        <w:tabs>
          <w:tab w:val="num" w:pos="720"/>
        </w:tabs>
        <w:ind w:start="720" w:hanging="720"/>
      </w:pPr>
      <w:rPr>
        <w:b/>
      </w:rPr>
    </w:lvl>
  </w:abstractNum>
  <w:abstractNum w:abstractNumId="4">
    <w:lvl w:ilvl="0">
      <w:start w:val="1"/>
      <w:numFmt w:val="decimal"/>
      <w:lvlText w:val="%1."/>
      <w:lvlJc w:val="start"/>
      <w:pPr>
        <w:tabs>
          <w:tab w:val="num" w:pos="259"/>
        </w:tabs>
        <w:ind w:start="259" w:hanging="25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numRestart w:val="eachPage"/>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character" w:styleId="MessageHeaderLabel">
    <w:name w:val="Message Header Label"/>
    <w:qFormat/>
    <w:rPr>
      <w:rFonts w:ascii="Arial" w:hAnsi="Arial" w:cs="Arial"/>
      <w:b/>
      <w:caps/>
      <w:sz w:val="18"/>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HeadingBase"/>
    <w:next w:val="BodyText"/>
    <w:qFormat/>
    <w:pPr>
      <w:spacing w:before="360" w:after="160"/>
      <w:jc w:val="center"/>
    </w:pPr>
    <w:rPr>
      <w:sz w:val="40"/>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qFormat/>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DocumentLabel">
    <w:name w:val="Document Label"/>
    <w:basedOn w:val="HeadingBase"/>
    <w:qFormat/>
    <w:pPr>
      <w:spacing w:before="240" w:after="360"/>
    </w:pPr>
    <w:rPr>
      <w:rFonts w:ascii="Times New Roman" w:hAnsi="Times New Roman" w:cs="Times New Roman"/>
    </w:rPr>
  </w:style>
  <w:style w:type="paragraph" w:styleId="EndnoteText">
    <w:name w:val="endnote text"/>
    <w:basedOn w:val="FootnoteBase"/>
    <w:pPr>
      <w:spacing w:before="0" w:after="12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4"/>
      </w:numPr>
      <w:tabs>
        <w:tab w:val="clear" w:pos="720"/>
      </w:tabs>
      <w:spacing w:before="0" w:after="160"/>
    </w:pPr>
    <w:rPr/>
  </w:style>
  <w:style w:type="paragraph" w:styleId="ListNumber2">
    <w:name w:val="List Number 2"/>
    <w:basedOn w:val="ListNumber"/>
    <w:qFormat/>
    <w:pPr>
      <w:numPr>
        <w:ilvl w:val="0"/>
        <w:numId w:val="5"/>
      </w:numPr>
      <w:ind w:hanging="360" w:start="1080" w:end="0"/>
    </w:pPr>
    <w:rPr/>
  </w:style>
  <w:style w:type="paragraph" w:styleId="ListNumber3">
    <w:name w:val="List Number 3"/>
    <w:basedOn w:val="ListNumber"/>
    <w:qFormat/>
    <w:pPr>
      <w:numPr>
        <w:ilvl w:val="0"/>
        <w:numId w:val="6"/>
      </w:numPr>
      <w:ind w:hanging="360" w:start="1440" w:end="0"/>
    </w:pPr>
    <w:rPr/>
  </w:style>
  <w:style w:type="paragraph" w:styleId="ListNumber4">
    <w:name w:val="List Number 4"/>
    <w:basedOn w:val="ListNumber"/>
    <w:qFormat/>
    <w:pPr>
      <w:numPr>
        <w:ilvl w:val="0"/>
        <w:numId w:val="7"/>
      </w:numPr>
      <w:ind w:hanging="360" w:start="1800" w:end="0"/>
    </w:pPr>
    <w:rPr/>
  </w:style>
  <w:style w:type="paragraph" w:styleId="ListNumber5">
    <w:name w:val="List Number 5"/>
    <w:basedOn w:val="ListNumber"/>
    <w:qFormat/>
    <w:pPr>
      <w:numPr>
        <w:ilvl w:val="0"/>
        <w:numId w:val="8"/>
      </w:num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clear" w:pos="720"/>
        <w:tab w:val="left" w:pos="3600" w:leader="none"/>
        <w:tab w:val="left" w:pos="4680" w:leader="none"/>
      </w:tabs>
      <w:spacing w:before="0" w:after="240"/>
      <w:ind w:hanging="1080" w:start="1080" w:end="2880"/>
    </w:pPr>
    <w:rPr>
      <w:rFonts w:ascii="Arial" w:hAnsi="Arial" w:cs="Arial"/>
    </w:rPr>
  </w:style>
  <w:style w:type="paragraph" w:styleId="SubjectLine">
    <w:name w:val="Subject Line"/>
    <w:basedOn w:val="BodyText"/>
    <w:qFormat/>
    <w:pPr/>
    <w:rPr>
      <w:i/>
      <w:u w:val="single"/>
    </w:rPr>
  </w:style>
  <w:style w:type="paragraph" w:styleId="Memototext">
    <w:name w:val="Memo to text"/>
    <w:basedOn w:val="Normal"/>
    <w:qFormat/>
    <w:pPr>
      <w:keepLines/>
      <w:tabs>
        <w:tab w:val="clear" w:pos="720"/>
        <w:tab w:val="left" w:pos="547" w:leader="none"/>
      </w:tabs>
      <w:spacing w:lineRule="exact" w:line="280" w:before="480" w:after="120"/>
      <w:ind w:hanging="547" w:start="547" w:end="4320"/>
    </w:pPr>
    <w:rPr>
      <w:rFonts w:ascii="Arial Narrow" w:hAnsi="Arial Narrow" w:cs="Arial Narrow"/>
      <w:b/>
      <w:sz w:val="22"/>
    </w:rPr>
  </w:style>
  <w:style w:type="paragraph" w:styleId="MessageHeaderLast">
    <w:name w:val="Message Header Last"/>
    <w:basedOn w:val="MessageHeader"/>
    <w:next w:val="BodyText"/>
    <w:qFormat/>
    <w:pPr>
      <w:spacing w:before="0" w:after="360"/>
    </w:pPr>
    <w:rPr/>
  </w:style>
  <w:style w:type="paragraph" w:styleId="Line">
    <w:name w:val="Line"/>
    <w:next w:val="BodyText"/>
    <w:qFormat/>
    <w:pPr>
      <w:widowControl/>
      <w:pBdr>
        <w:top w:val="single" w:sz="12" w:space="1" w:color="000000"/>
      </w:pBdr>
      <w:bidi w:val="0"/>
    </w:pPr>
    <w:rPr>
      <w:rFonts w:ascii="Times New Roman" w:hAnsi="Times New Roman" w:eastAsia="Times New Roman" w:cs="Times New Roman"/>
      <w:color w:val="auto"/>
      <w:sz w:val="20"/>
      <w:szCs w:val="20"/>
      <w:lang w:val="en-CA" w:eastAsia="zh-CN" w:bidi="hi-IN"/>
    </w:rPr>
  </w:style>
  <w:style w:type="paragraph" w:styleId="ListBullet">
    <w:name w:val="List Bullet"/>
    <w:basedOn w:val="List"/>
    <w:qFormat/>
    <w:pPr>
      <w:numPr>
        <w:ilvl w:val="0"/>
        <w:numId w:val="9"/>
      </w:numPr>
      <w:tabs>
        <w:tab w:val="clear" w:pos="720"/>
      </w:tabs>
      <w:spacing w:before="0" w:after="16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Subtitle">
    <w:name w:val="Subtitle"/>
    <w:basedOn w:val="Heading"/>
    <w:next w:val="BodyText"/>
    <w:qFormat/>
    <w:pPr>
      <w:spacing w:before="0" w:after="240"/>
    </w:pPr>
    <w:rPr>
      <w:b w:val="false"/>
      <w:i/>
      <w:sz w:val="28"/>
    </w:rPr>
  </w:style>
  <w:style w:type="paragraph" w:styleId="ListBullet21">
    <w:name w:val="List Bullet 21"/>
    <w:basedOn w:val="ListBullet"/>
    <w:qFormat/>
    <w:pPr>
      <w:numPr>
        <w:ilvl w:val="0"/>
        <w:numId w:val="10"/>
      </w:numPr>
      <w:ind w:hanging="360" w:start="1080" w:end="0"/>
    </w:pPr>
    <w:rPr/>
  </w:style>
  <w:style w:type="paragraph" w:styleId="ListBullet31">
    <w:name w:val="List Bullet 31"/>
    <w:basedOn w:val="ListBullet"/>
    <w:qFormat/>
    <w:pPr>
      <w:numPr>
        <w:ilvl w:val="0"/>
        <w:numId w:val="11"/>
      </w:numPr>
      <w:ind w:hanging="360" w:start="1440" w:end="0"/>
    </w:pPr>
    <w:rPr/>
  </w:style>
  <w:style w:type="paragraph" w:styleId="ListBullet41">
    <w:name w:val="List Bullet 41"/>
    <w:basedOn w:val="ListBullet"/>
    <w:qFormat/>
    <w:pPr>
      <w:numPr>
        <w:ilvl w:val="0"/>
        <w:numId w:val="12"/>
      </w:numPr>
      <w:ind w:hanging="360" w:start="1800" w:end="0"/>
    </w:pPr>
    <w:rPr/>
  </w:style>
  <w:style w:type="paragraph" w:styleId="ListBullet51">
    <w:name w:val="List Bullet 51"/>
    <w:basedOn w:val="ListBullet"/>
    <w:qFormat/>
    <w:pPr>
      <w:numPr>
        <w:ilvl w:val="0"/>
        <w:numId w:val="13"/>
      </w:numPr>
      <w:ind w:hanging="360" w:start="2160" w:end="0"/>
    </w:pPr>
    <w:rPr/>
  </w:style>
  <w:style w:type="paragraph" w:styleId="MessageHeaderFirst">
    <w:name w:val="Message Header First"/>
    <w:basedOn w:val="MessageHeader"/>
    <w:next w:val="MessageHeader"/>
    <w:qFormat/>
    <w:pPr>
      <w:spacing w:before="120" w:after="240"/>
    </w:pPr>
    <w:rPr/>
  </w:style>
  <w:style w:type="paragraph" w:styleId="ListContinue">
    <w:name w:val="List Continue"/>
    <w:basedOn w:val="List"/>
    <w:qFormat/>
    <w:pPr>
      <w:numPr>
        <w:ilvl w:val="0"/>
        <w:numId w:val="14"/>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5">
    <w:name w:val="List Continue 5"/>
    <w:basedOn w:val="ListContinue"/>
    <w:qFormat/>
    <w:pPr>
      <w:ind w:hanging="360" w:start="2160" w:end="0"/>
    </w:pPr>
    <w:rPr/>
  </w:style>
  <w:style w:type="paragraph" w:styleId="ListContinue4">
    <w:name w:val="List Continue 4"/>
    <w:basedOn w:val="ListContinue"/>
    <w:qFormat/>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2000-07-13T14:41:00Z</dcterms:created>
  <dc:creator>mhain</dc:creator>
  <dc:description/>
  <dc:language>en-CA</dc:language>
  <cp:lastModifiedBy>mhain</cp:lastModifiedBy>
  <cp:lastPrinted>2000-07-17T10:55:00Z</cp:lastPrinted>
  <dcterms:modified xsi:type="dcterms:W3CDTF">2000-07-17T19:05:00Z</dcterms:modified>
  <cp:revision>10</cp:revision>
  <dc:subject/>
  <dc:title>Helps you design a customized memo</dc:title>
</cp:coreProperties>
</file>