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L</w:t>
      </w:r>
      <w:r>
        <w:rPr>
          <w:b/>
          <w:smallCaps/>
        </w:rPr>
        <w:t>E</w:t>
      </w:r>
      <w:r>
        <w:rPr>
          <w:b/>
          <w:sz w:val="28"/>
        </w:rPr>
        <w:t>B</w:t>
      </w:r>
      <w:r>
        <w:rPr>
          <w:b/>
          <w:smallCaps/>
        </w:rPr>
        <w:t>OEUF</w:t>
      </w:r>
      <w:r>
        <w:rPr>
          <w:b/>
          <w:sz w:val="28"/>
        </w:rPr>
        <w:t>, L</w:t>
      </w:r>
      <w:r>
        <w:rPr>
          <w:b/>
          <w:smallCaps/>
        </w:rPr>
        <w:t>AMB</w:t>
      </w:r>
      <w:r>
        <w:rPr>
          <w:b/>
          <w:sz w:val="28"/>
        </w:rPr>
        <w:t>, G</w:t>
      </w:r>
      <w:r>
        <w:rPr>
          <w:b/>
          <w:smallCaps/>
        </w:rPr>
        <w:t>REENE</w:t>
      </w:r>
      <w:r>
        <w:rPr>
          <w:b/>
          <w:sz w:val="28"/>
        </w:rPr>
        <w:t xml:space="preserve"> &amp; M</w:t>
      </w:r>
      <w:r>
        <w:rPr>
          <w:b/>
          <w:smallCaps/>
        </w:rPr>
        <w:t>AC</w:t>
      </w:r>
      <w:r>
        <w:rPr>
          <w:b/>
          <w:sz w:val="28"/>
        </w:rPr>
        <w:t>R</w:t>
      </w:r>
      <w:r>
        <w:rPr>
          <w:b/>
          <w:smallCaps/>
        </w:rPr>
        <w:t>AE</w:t>
      </w:r>
    </w:p>
    <w:p>
      <w:pPr>
        <w:pStyle w:val="Normal"/>
        <w:jc w:val="center"/>
        <w:rPr>
          <w:b/>
          <w:sz w:val="28"/>
        </w:rPr>
      </w:pPr>
      <w:r>
        <w:rPr>
          <w:b/>
          <w:sz w:val="28"/>
        </w:rPr>
        <w:t>LLP</w:t>
      </w:r>
    </w:p>
    <w:p>
      <w:pPr>
        <w:pStyle w:val="Normal"/>
        <w:jc w:val="center"/>
        <w:rPr>
          <w:rFonts w:ascii="CG Times" w:hAnsi="CG Times" w:cs="CG Times"/>
          <w:b/>
          <w:sz w:val="12"/>
        </w:rPr>
      </w:pPr>
      <w:r>
        <w:rPr>
          <w:rFonts w:cs="CG Times" w:ascii="CG Times" w:hAnsi="CG Times"/>
          <w:b/>
          <w:sz w:val="12"/>
        </w:rPr>
        <w:t>A LIMITED LIABILITY PARTNERSHIP INCLUDING PROFESSIONAL CORPORATIONS</w:t>
      </w:r>
    </w:p>
    <w:p>
      <w:pPr>
        <w:pStyle w:val="Normal"/>
        <w:jc w:val="center"/>
        <w:rPr>
          <w:rFonts w:ascii="CG Times" w:hAnsi="CG Times" w:cs="CG Times"/>
          <w:b/>
          <w:sz w:val="12"/>
        </w:rPr>
      </w:pPr>
      <w:r>
        <w:rPr>
          <w:rFonts w:cs="CG Times" w:ascii="CG Times" w:hAnsi="CG Times"/>
          <w:b/>
          <w:sz w:val="12"/>
        </w:rPr>
      </w:r>
    </w:p>
    <w:p>
      <w:pPr>
        <w:pStyle w:val="Normal"/>
        <w:jc w:val="center"/>
        <w:rPr>
          <w:rFonts w:ascii="Univers" w:hAnsi="Univers" w:cs="Univers"/>
          <w:b/>
          <w:sz w:val="20"/>
        </w:rPr>
      </w:pPr>
      <w:r>
        <w:rPr>
          <w:rFonts w:cs="Univers" w:ascii="Univers" w:hAnsi="Univers"/>
          <w:b/>
          <w:sz w:val="20"/>
        </w:rPr>
        <w:t>1875 CONNECTICUT AVENUE, N.W.</w:t>
      </w:r>
    </w:p>
    <w:p>
      <w:pPr>
        <w:pStyle w:val="Normal"/>
        <w:jc w:val="center"/>
        <w:rPr>
          <w:rFonts w:ascii="Univers" w:hAnsi="Univers" w:cs="Univers"/>
          <w:b/>
          <w:sz w:val="20"/>
        </w:rPr>
      </w:pPr>
      <w:r>
        <w:rPr>
          <w:rFonts w:cs="Univers" w:ascii="Univers" w:hAnsi="Univers"/>
          <w:b/>
          <w:sz w:val="20"/>
        </w:rPr>
        <w:t>SUITE 1200</w:t>
      </w:r>
    </w:p>
    <w:p>
      <w:pPr>
        <w:pStyle w:val="Normal"/>
        <w:jc w:val="center"/>
        <w:rPr>
          <w:rFonts w:ascii="Univers" w:hAnsi="Univers" w:cs="Univers"/>
          <w:b/>
          <w:sz w:val="20"/>
        </w:rPr>
      </w:pPr>
      <w:r>
        <w:rPr>
          <w:rFonts w:cs="Univers" w:ascii="Univers" w:hAnsi="Univers"/>
          <w:b/>
          <w:sz w:val="20"/>
        </w:rPr>
        <w:t>WASHINGTON, DC  20009-5728</w:t>
      </w:r>
    </w:p>
    <w:p>
      <w:pPr>
        <w:pStyle w:val="Normal"/>
        <w:jc w:val="center"/>
        <w:rPr>
          <w:rFonts w:ascii="Univers" w:hAnsi="Univers" w:cs="Univers"/>
          <w:b/>
          <w:sz w:val="16"/>
        </w:rPr>
      </w:pPr>
      <w:r>
        <w:rPr>
          <w:rFonts w:cs="Univers" w:ascii="Univers" w:hAnsi="Univers"/>
          <w:b/>
          <w:sz w:val="16"/>
        </w:rPr>
      </w:r>
    </w:p>
    <w:p>
      <w:pPr>
        <w:pStyle w:val="Normal"/>
        <w:jc w:val="center"/>
        <w:rPr>
          <w:b/>
          <w:sz w:val="18"/>
        </w:rPr>
      </w:pPr>
      <w:r>
        <w:rPr>
          <w:b/>
          <w:sz w:val="18"/>
        </w:rPr>
        <w:t>(202) 986-8000</w:t>
      </w:r>
    </w:p>
    <w:p>
      <w:pPr>
        <w:pStyle w:val="Normal"/>
        <w:jc w:val="center"/>
        <w:rPr>
          <w:b/>
          <w:sz w:val="18"/>
        </w:rPr>
      </w:pPr>
      <w:r>
        <w:rPr>
          <w:b/>
          <w:sz w:val="18"/>
        </w:rPr>
      </w:r>
    </w:p>
    <w:p>
      <w:pPr>
        <w:pStyle w:val="Normal"/>
        <w:rPr/>
      </w:pPr>
      <w:r>
        <w:rPr>
          <w:b/>
        </w:rPr>
        <w:tab/>
        <w:tab/>
      </w:r>
      <w:r>
        <w:rPr>
          <w:rFonts w:cs="Arial" w:ascii="Arial" w:hAnsi="Arial"/>
          <w:b/>
          <w:sz w:val="28"/>
        </w:rPr>
        <w:tab/>
        <w:tab/>
      </w:r>
      <w:r>
        <w:rPr>
          <w:b/>
          <w:sz w:val="28"/>
        </w:rPr>
        <w:tab/>
        <w:tab/>
        <w:tab/>
      </w:r>
      <w:r>
        <w:rPr/>
        <w:t>March 20, 2001</w:t>
      </w:r>
    </w:p>
    <w:p>
      <w:pPr>
        <w:pStyle w:val="Normal"/>
        <w:rPr>
          <w:b/>
        </w:rPr>
      </w:pPr>
      <w:r>
        <w:rPr>
          <w:b/>
        </w:rPr>
      </w:r>
    </w:p>
    <w:p>
      <w:pPr>
        <w:pStyle w:val="Normal"/>
        <w:rPr>
          <w:b/>
        </w:rPr>
      </w:pPr>
      <w:r>
        <w:rPr>
          <w:b/>
        </w:rPr>
      </w:r>
    </w:p>
    <w:p>
      <w:pPr>
        <w:pStyle w:val="Normal"/>
        <w:rPr/>
      </w:pPr>
      <w:r>
        <w:rPr>
          <w:b/>
        </w:rPr>
        <w:t>TO:</w:t>
        <w:tab/>
        <w:tab/>
      </w:r>
      <w:r>
        <w:rPr/>
        <w:t>John Maas</w:t>
      </w:r>
    </w:p>
    <w:p>
      <w:pPr>
        <w:pStyle w:val="Normal"/>
        <w:rPr/>
      </w:pPr>
      <w:r>
        <w:rPr/>
      </w:r>
    </w:p>
    <w:p>
      <w:pPr>
        <w:pStyle w:val="Normal"/>
        <w:ind w:hanging="1440" w:start="1440" w:end="0"/>
        <w:rPr/>
      </w:pPr>
      <w:r>
        <w:rPr>
          <w:b/>
        </w:rPr>
        <w:t>FROM:</w:t>
        <w:tab/>
      </w:r>
      <w:r>
        <w:rPr>
          <w:lang w:val="pt-BR"/>
        </w:rPr>
        <w:t>Andrea Chambers</w:t>
      </w:r>
    </w:p>
    <w:p>
      <w:pPr>
        <w:pStyle w:val="Normal"/>
        <w:ind w:hanging="1440" w:start="1440" w:end="0"/>
        <w:rPr>
          <w:lang w:val="pt-BR"/>
        </w:rPr>
      </w:pPr>
      <w:r>
        <w:rPr>
          <w:lang w:val="pt-BR"/>
        </w:rPr>
      </w:r>
    </w:p>
    <w:p>
      <w:pPr>
        <w:pStyle w:val="Normal"/>
        <w:rPr/>
      </w:pPr>
      <w:r>
        <w:rPr>
          <w:b/>
          <w:lang w:val="pt-BR"/>
        </w:rPr>
        <w:t xml:space="preserve">RE:            </w:t>
        <w:tab/>
      </w:r>
      <w:r>
        <w:rPr>
          <w:lang w:val="pt-BR"/>
        </w:rPr>
        <w:t>Credits for Generation Interconnection Service System Upgrades</w:t>
      </w:r>
    </w:p>
    <w:p>
      <w:pPr>
        <w:pStyle w:val="Normal"/>
        <w:rPr>
          <w:lang w:val="pt-BR"/>
        </w:rPr>
      </w:pPr>
      <w:r>
        <w:rPr>
          <w:lang w:val="pt-BR"/>
        </w:rPr>
      </w:r>
    </w:p>
    <w:p>
      <w:pPr>
        <w:pStyle w:val="Normal"/>
        <w:rPr>
          <w:rFonts w:ascii="Arial" w:hAnsi="Arial" w:cs="Arial"/>
          <w:lang w:val="pt-BR"/>
        </w:rPr>
      </w:pPr>
      <w:r>
        <w:rPr>
          <w:rFonts w:cs="Arial" w:ascii="Arial" w:hAnsi="Arial"/>
          <w:lang w:val="pt-BR"/>
        </w:rPr>
      </w:r>
    </w:p>
    <w:p>
      <w:pPr>
        <w:pStyle w:val="Normal"/>
        <w:rPr/>
      </w:pPr>
      <w:r>
        <w:rPr/>
        <w:tab/>
        <w:t>The Commission cases establish the precedent that generators must receive credit for any system upgrades that they are charged for on a direct assignment basis once transmission related to such generation facility is purchased by a transmission customer on the grounds that the transmission provider is not allowed to recover an incremental charge and a rolled-in charge for the same transmission facility.</w:t>
      </w:r>
      <w:r>
        <w:rPr>
          <w:rStyle w:val="FootnoteCharacters"/>
        </w:rPr>
        <w:t xml:space="preserve"> </w:t>
      </w:r>
      <w:r>
        <w:rPr>
          <w:rStyle w:val="FootnoteCharacters"/>
          <w:rStyle w:val="FootnoteReference"/>
        </w:rPr>
        <w:footnoteReference w:id="2"/>
      </w:r>
      <w:r>
        <w:rPr/>
        <w:t xml:space="preserve">  However, the cases do not explain how the credit is to be provided, except that it must be on a “dollar for dollar basis.”  Thus, to understand how the credit would work, it is necessary to look at individual tariffs, to the extent that they include interconnection procedures that provide for such a credit.</w:t>
      </w:r>
    </w:p>
    <w:p>
      <w:pPr>
        <w:pStyle w:val="Normal"/>
        <w:rPr/>
      </w:pPr>
      <w:r>
        <w:rPr/>
      </w:r>
    </w:p>
    <w:p>
      <w:pPr>
        <w:pStyle w:val="Normal"/>
        <w:ind w:firstLine="720" w:end="0"/>
        <w:rPr/>
      </w:pPr>
      <w:r>
        <w:rPr/>
        <w:t>The Sierra Pacific Resources Operating Companies’ Open Access Transmission Tariff (“OATT”) provides procedures for interconnection of new generating facilities at Sections 39-41 (</w:t>
      </w:r>
      <w:r>
        <w:rPr>
          <w:u w:val="single"/>
        </w:rPr>
        <w:t>See</w:t>
      </w:r>
      <w:r>
        <w:rPr/>
        <w:t xml:space="preserve"> Original Sheet Nos. 135- 150).    These procedures do not discuss credits for system upgrades.  The only discussion of network upgrades is that the interconnection studies will provide a good faith estimate of the costs of interconnection facilities and any system upgrades, and a proposal for allocation of such costs, and that the Interconnection and Operation Agreement (“IOA”) will allocate costs of the interconnection and system upgrades between the generator and the transmission provider. </w:t>
      </w:r>
    </w:p>
    <w:p>
      <w:pPr>
        <w:pStyle w:val="Normal"/>
        <w:rPr/>
      </w:pPr>
      <w:r>
        <w:rPr/>
      </w:r>
    </w:p>
    <w:p>
      <w:pPr>
        <w:pStyle w:val="Normal"/>
        <w:ind w:firstLine="720" w:end="0"/>
        <w:rPr/>
      </w:pPr>
      <w:r>
        <w:rPr/>
        <w:t>Thus, to determine how credits are being developed, it is useful to look to other tariffs that have more details concerning credits.  One of the more detailed filings concerning credits is the proposed GridFlorida LLC OATT.  According to the GridFlorida LLC OATT proposal filed with the Commission on December 15, 2000, Generation Interconnection Service (“GIS”) System Upgrades are those facilities specified in the Facilities Study and considered to be part of the Transmission System.  (</w:t>
      </w:r>
      <w:r>
        <w:rPr>
          <w:u w:val="single"/>
        </w:rPr>
        <w:t>See</w:t>
      </w:r>
      <w:r>
        <w:rPr/>
        <w:t xml:space="preserve"> GridFlorida OATT, </w:t>
      </w:r>
      <w:r>
        <w:rPr>
          <w:u w:val="single"/>
        </w:rPr>
        <w:t>pro</w:t>
      </w:r>
      <w:r>
        <w:rPr/>
        <w:t xml:space="preserve"> </w:t>
      </w:r>
      <w:r>
        <w:rPr>
          <w:u w:val="single"/>
        </w:rPr>
        <w:t>forma</w:t>
      </w:r>
      <w:r>
        <w:rPr/>
        <w:t xml:space="preserve">, Original Sheet No. 134).  All costs associated with the GIS System Upgrades, including associated costs imposed on the Transmission Provider or Participating Owner for any federal, state or local taxes, initially will be the responsibility of the GIS Customer.  Within ten (10) days of acceptance by the FERC of the Interconnection Agreement, or as otherwise agreed to in the Interconnection Agreement, the GIS customer shall (i) enter into a mutually acceptable security arrangement, and (ii) put into place a payment schedule for the estimated costs of the GIS System Upgrades located on the Transmission System. </w:t>
      </w:r>
    </w:p>
    <w:p>
      <w:pPr>
        <w:pStyle w:val="Normal"/>
        <w:rPr/>
      </w:pPr>
      <w:r>
        <w:rPr/>
      </w:r>
    </w:p>
    <w:p>
      <w:pPr>
        <w:pStyle w:val="BodyTextIndent"/>
        <w:rPr/>
      </w:pPr>
      <w:r>
        <w:rPr/>
        <w:t>Section 47.3 of the proposed tariff addresses credits for GIS System Upgrades.   Section 47.3 provides that when the upgrades are completed and the transmission system is used to transmit power from the GIS generation facility, credits will be provided to the GIS customer on a “dollar for dollar” basis until such time as the GIS system upgrade costs have been fully offset.  The credits are treated differently depending upon whether the transmission provided is point-to-point or network service.  For point-to-point transmission service, where the GIS customer’s generating facility is the source of power, the transmission provider will provide a monthly credit on the GIS Customer’s bill equal to the charges for such point-to-point service.  If a party other than the GIS customer is the transmission customer for such point-to-point service, then the transmission provider, shall, at the request of the GIS customer, assign all or part of the credit to that transmission customer.  If the GIS customer’s generation facility is designated as a network resource, the transmission provider, at the request of the GIS customer, will provide a monthly credit based on a ratio set forth in the tariff.</w:t>
      </w:r>
    </w:p>
    <w:p>
      <w:pPr>
        <w:pStyle w:val="BodyTextIndent"/>
        <w:rPr/>
      </w:pPr>
      <w:r>
        <w:rPr/>
      </w:r>
    </w:p>
    <w:p>
      <w:pPr>
        <w:pStyle w:val="BodyTextIndent"/>
        <w:rPr/>
      </w:pPr>
      <w:r>
        <w:rPr/>
        <w:t xml:space="preserve">Generators interconnecting with Carolina Power &amp; Light Company are paid credits in accordance with CP&amp;L’s OATT, Section 7.3, Substitute Original Sheet No. 174, effective August 17, 2000.  Section 7.3 provides that an interconnection customer is entitled to a credit, in an amount equal to the costs of the portion of the Interconnection Facilities that are Network Upgrades, against the cost of Point-to-Point Transmission Service or Network Transmission Service from the generator with respect to which the Network Upgrades were constructed.  The interconnection Customer may assign rights to the credit to any Transmission Customer that takes transmission service from that generator.  </w:t>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 w:name="Univers">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24"/>
        </w:rPr>
        <w:t xml:space="preserve">  </w:t>
      </w:r>
      <w:r>
        <w:rPr>
          <w:sz w:val="24"/>
          <w:u w:val="single"/>
        </w:rPr>
        <w:t>See Southern Company Services, Inc.</w:t>
      </w:r>
      <w:r>
        <w:rPr>
          <w:sz w:val="24"/>
        </w:rPr>
        <w:t xml:space="preserve">, 94 FERC ¶ 61,131 (2001); </w:t>
      </w:r>
      <w:r>
        <w:rPr>
          <w:sz w:val="24"/>
          <w:u w:val="single"/>
        </w:rPr>
        <w:t>see</w:t>
      </w:r>
      <w:r>
        <w:rPr>
          <w:sz w:val="24"/>
        </w:rPr>
        <w:t xml:space="preserve"> </w:t>
      </w:r>
      <w:r>
        <w:rPr>
          <w:sz w:val="24"/>
          <w:u w:val="single"/>
        </w:rPr>
        <w:t>also</w:t>
      </w:r>
      <w:r>
        <w:rPr>
          <w:sz w:val="24"/>
        </w:rPr>
        <w:t xml:space="preserve"> </w:t>
      </w:r>
      <w:r>
        <w:rPr>
          <w:sz w:val="24"/>
          <w:u w:val="single"/>
        </w:rPr>
        <w:t>Carolina Power &amp; Light Company</w:t>
      </w:r>
      <w:r>
        <w:rPr>
          <w:sz w:val="24"/>
        </w:rPr>
        <w:t>, 93 FERC ¶ 61,023 (2000).</w:t>
      </w:r>
    </w:p>
  </w:footnote>
</w:footnotes>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BodyTextIndent">
    <w:name w:val="Body Text Indent"/>
    <w:basedOn w:val="Normal"/>
    <w:pPr>
      <w:ind w:firstLine="72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2001-03-20T21:02:00Z</dcterms:created>
  <dc:creator>IS Department</dc:creator>
  <dc:description/>
  <dc:language>en-CA</dc:language>
  <cp:lastModifiedBy>LLGM</cp:lastModifiedBy>
  <cp:lastPrinted>2001-03-20T16:29:00Z</cp:lastPrinted>
  <dcterms:modified xsi:type="dcterms:W3CDTF">2001-03-20T21:02:00Z</dcterms:modified>
  <cp:revision>2</cp:revision>
  <dc:subject/>
  <dc:title>LEBOEUF, LAMB, GREENE &amp; MACRAE</dc:title>
</cp:coreProperties>
</file>