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 xml:space="preserve">Member Applications </w:t>
      </w:r>
    </w:p>
    <w:p>
      <w:pPr>
        <w:pStyle w:val="Normal"/>
        <w:rPr>
          <w:sz w:val="24"/>
        </w:rPr>
      </w:pPr>
      <w:r>
        <w:rPr>
          <w:sz w:val="24"/>
        </w:rPr>
      </w:r>
    </w:p>
    <w:p>
      <w:pPr>
        <w:pStyle w:val="Normal"/>
        <w:rPr>
          <w:sz w:val="24"/>
        </w:rPr>
      </w:pPr>
      <w:r>
        <w:rPr>
          <w:sz w:val="24"/>
        </w:rPr>
        <w:t>The following applications will be considered at the Board meeting on Tuesday, September 25.  They are listed below with brief descriptions.</w:t>
      </w:r>
    </w:p>
    <w:p>
      <w:pPr>
        <w:pStyle w:val="Normal"/>
        <w:rPr>
          <w:sz w:val="24"/>
        </w:rPr>
      </w:pPr>
      <w:r>
        <w:rPr>
          <w:sz w:val="24"/>
        </w:rPr>
      </w:r>
    </w:p>
    <w:p>
      <w:pPr>
        <w:pStyle w:val="Heading2"/>
        <w:ind w:hanging="0" w:start="0"/>
        <w:rPr>
          <w:sz w:val="24"/>
        </w:rPr>
      </w:pPr>
      <w:r>
        <w:rPr>
          <w:sz w:val="24"/>
        </w:rPr>
        <w:t>Primary Regional</w:t>
      </w:r>
    </w:p>
    <w:p>
      <w:pPr>
        <w:pStyle w:val="Normal"/>
        <w:numPr>
          <w:ilvl w:val="0"/>
          <w:numId w:val="2"/>
        </w:numPr>
        <w:rPr>
          <w:sz w:val="24"/>
        </w:rPr>
      </w:pPr>
      <w:r>
        <w:rPr>
          <w:sz w:val="24"/>
          <w:u w:val="single"/>
        </w:rPr>
        <w:t>Calpine Energy Services, L.P.</w:t>
      </w:r>
      <w:r>
        <w:rPr>
          <w:sz w:val="24"/>
        </w:rPr>
        <w:t xml:space="preserve"> – A U.S. based power marketing and generation company.  </w:t>
      </w:r>
    </w:p>
    <w:p>
      <w:pPr>
        <w:pStyle w:val="Normal"/>
        <w:numPr>
          <w:ilvl w:val="0"/>
          <w:numId w:val="2"/>
        </w:numPr>
        <w:rPr>
          <w:sz w:val="24"/>
        </w:rPr>
      </w:pPr>
      <w:r>
        <w:rPr>
          <w:sz w:val="24"/>
          <w:u w:val="single"/>
        </w:rPr>
        <w:t>Allegheny Energy Supply Company</w:t>
      </w:r>
      <w:r>
        <w:rPr>
          <w:sz w:val="24"/>
        </w:rPr>
        <w:t xml:space="preserve"> – On March 16, 2001, Allegheny acquired Global Energy Markets (G.E.M.), the energy commodity marketing and trading business of Merrill Lynch Capital Services. The new company has responsibility for all commodity trading and risk management within Allegheny Energy Supply Company, LLC.</w:t>
      </w:r>
    </w:p>
    <w:p>
      <w:pPr>
        <w:pStyle w:val="Normal"/>
        <w:rPr>
          <w:sz w:val="24"/>
        </w:rPr>
      </w:pPr>
      <w:r>
        <w:rPr>
          <w:sz w:val="24"/>
        </w:rPr>
      </w:r>
    </w:p>
    <w:p>
      <w:pPr>
        <w:pStyle w:val="Heading2"/>
        <w:ind w:hanging="0" w:start="0"/>
        <w:rPr>
          <w:sz w:val="24"/>
        </w:rPr>
      </w:pPr>
      <w:r>
        <w:rPr>
          <w:sz w:val="24"/>
        </w:rPr>
        <w:t>Associate</w:t>
      </w:r>
    </w:p>
    <w:p>
      <w:pPr>
        <w:pStyle w:val="Normal"/>
        <w:numPr>
          <w:ilvl w:val="0"/>
          <w:numId w:val="2"/>
        </w:numPr>
        <w:rPr>
          <w:sz w:val="24"/>
        </w:rPr>
      </w:pPr>
      <w:r>
        <w:rPr>
          <w:sz w:val="24"/>
          <w:u w:val="single"/>
        </w:rPr>
        <w:t>VOB-Service GmbH</w:t>
      </w:r>
      <w:r>
        <w:rPr>
          <w:sz w:val="24"/>
        </w:rPr>
        <w:t xml:space="preserve"> – This organization provides a service to facilitate the consideration of netting issues with respect to transactions to be entered into by a firm. It is a software package, not an internet-based medium. Pursuant to the terms of the licensing agreement, users of the software must confirm that they are members of ISDA (and, therefore, recipients of the ISDA netting opinions). Users are only entitled to updates if they continue as ISDA members.</w:t>
      </w:r>
    </w:p>
    <w:p>
      <w:pPr>
        <w:pStyle w:val="Normal"/>
        <w:numPr>
          <w:ilvl w:val="0"/>
          <w:numId w:val="2"/>
        </w:numPr>
        <w:rPr>
          <w:sz w:val="24"/>
        </w:rPr>
      </w:pPr>
      <w:r>
        <w:rPr>
          <w:sz w:val="24"/>
          <w:u w:val="single"/>
        </w:rPr>
        <w:t>Beachfire, Inc.</w:t>
      </w:r>
      <w:r>
        <w:rPr>
          <w:sz w:val="24"/>
        </w:rPr>
        <w:t xml:space="preserve"> – An enterprise software company delivering products that address the inefficient process of negotiation between businesses.  Beachfire is working with ISDA to promote a global technology standard for the online negotiation of ISDA master agreement schedules by member banks and institutions worldwide.</w:t>
      </w:r>
    </w:p>
    <w:p>
      <w:pPr>
        <w:pStyle w:val="Normal"/>
        <w:numPr>
          <w:ilvl w:val="0"/>
          <w:numId w:val="2"/>
        </w:numPr>
        <w:rPr>
          <w:sz w:val="24"/>
        </w:rPr>
      </w:pPr>
      <w:r>
        <w:rPr>
          <w:sz w:val="24"/>
          <w:u w:val="single"/>
        </w:rPr>
        <w:t>Vischer LLC Attorneys at Law</w:t>
      </w:r>
      <w:r>
        <w:rPr>
          <w:sz w:val="24"/>
        </w:rPr>
        <w:t xml:space="preserve"> – A Swiss-based law firm.  (Known to us through Allen &amp; Overy.)</w:t>
      </w:r>
    </w:p>
    <w:p>
      <w:pPr>
        <w:pStyle w:val="Normal"/>
        <w:rPr>
          <w:sz w:val="24"/>
        </w:rPr>
      </w:pPr>
      <w:r>
        <w:rPr>
          <w:sz w:val="24"/>
        </w:rPr>
      </w:r>
    </w:p>
    <w:p>
      <w:pPr>
        <w:pStyle w:val="Heading2"/>
        <w:ind w:hanging="0" w:start="0"/>
        <w:rPr>
          <w:sz w:val="24"/>
        </w:rPr>
      </w:pPr>
      <w:r>
        <w:rPr>
          <w:sz w:val="24"/>
        </w:rPr>
        <w:t>Associate Emerging</w:t>
      </w:r>
    </w:p>
    <w:p>
      <w:pPr>
        <w:pStyle w:val="Normal"/>
        <w:numPr>
          <w:ilvl w:val="0"/>
          <w:numId w:val="2"/>
        </w:numPr>
        <w:rPr>
          <w:sz w:val="24"/>
        </w:rPr>
      </w:pPr>
      <w:r>
        <w:rPr>
          <w:sz w:val="24"/>
          <w:u w:val="single"/>
        </w:rPr>
        <w:t>Shearn Delamore &amp; Co.</w:t>
      </w:r>
      <w:r>
        <w:rPr>
          <w:sz w:val="24"/>
        </w:rPr>
        <w:t xml:space="preserve"> – Malaysian law firm.  (ISDA legal opinion provider.)</w:t>
      </w:r>
    </w:p>
    <w:p>
      <w:pPr>
        <w:pStyle w:val="Normal"/>
        <w:rPr>
          <w:b/>
          <w:sz w:val="24"/>
        </w:rPr>
      </w:pPr>
      <w:r>
        <w:rPr>
          <w:b/>
          <w:sz w:val="24"/>
        </w:rPr>
      </w:r>
    </w:p>
    <w:p>
      <w:pPr>
        <w:pStyle w:val="Normal"/>
        <w:rPr/>
      </w:pPr>
      <w:r>
        <w:rPr>
          <w:b/>
          <w:sz w:val="24"/>
        </w:rPr>
        <w:t>Non-Dealer Financial Subscriber</w:t>
      </w:r>
      <w:r>
        <w:rPr>
          <w:sz w:val="24"/>
        </w:rPr>
        <w:t xml:space="preserve"> </w:t>
      </w:r>
    </w:p>
    <w:p>
      <w:pPr>
        <w:pStyle w:val="Normal"/>
        <w:numPr>
          <w:ilvl w:val="0"/>
          <w:numId w:val="2"/>
        </w:numPr>
        <w:rPr>
          <w:sz w:val="24"/>
          <w:u w:val="single"/>
        </w:rPr>
      </w:pPr>
      <w:r>
        <w:rPr>
          <w:sz w:val="24"/>
          <w:u w:val="single"/>
        </w:rPr>
        <w:t>Federal Home Loan Bank of Boston</w:t>
      </w:r>
    </w:p>
    <w:p>
      <w:pPr>
        <w:pStyle w:val="Normal"/>
        <w:rPr>
          <w:sz w:val="24"/>
          <w:u w:val="single"/>
        </w:rPr>
      </w:pPr>
      <w:r>
        <w:rPr>
          <w:sz w:val="24"/>
          <w:u w:val="single"/>
        </w:rPr>
      </w:r>
    </w:p>
    <w:p>
      <w:pPr>
        <w:pStyle w:val="Heading2"/>
        <w:ind w:hanging="0" w:start="0"/>
        <w:rPr>
          <w:sz w:val="24"/>
        </w:rPr>
      </w:pPr>
      <w:r>
        <w:rPr>
          <w:sz w:val="24"/>
        </w:rPr>
        <w:t>Subscriber</w:t>
      </w:r>
    </w:p>
    <w:p>
      <w:pPr>
        <w:pStyle w:val="Normal"/>
        <w:numPr>
          <w:ilvl w:val="0"/>
          <w:numId w:val="2"/>
        </w:numPr>
        <w:rPr>
          <w:sz w:val="24"/>
        </w:rPr>
      </w:pPr>
      <w:r>
        <w:rPr>
          <w:sz w:val="24"/>
          <w:u w:val="single"/>
        </w:rPr>
        <w:t>Clarica Life Insurance Company</w:t>
      </w:r>
      <w:r>
        <w:rPr>
          <w:sz w:val="24"/>
        </w:rPr>
        <w:t xml:space="preserve"> – This company is based in Ontario and was formerly known as TMG (The Mutual Group).  (Application was deferred from August 2, Executive Committee meeting for full Board consideration.  There was a discussion as to whether or not they should come in a s a Primary.  CIBC has backed their application for Subscriber membership.)</w:t>
      </w:r>
    </w:p>
    <w:p>
      <w:pPr>
        <w:pStyle w:val="Normal"/>
        <w:rPr>
          <w:sz w:val="24"/>
        </w:rPr>
      </w:pPr>
      <w:r>
        <w:rPr>
          <w:sz w:val="24"/>
        </w:rPr>
      </w:r>
    </w:p>
    <w:p>
      <w:pPr>
        <w:pStyle w:val="Normal"/>
        <w:numPr>
          <w:ilvl w:val="0"/>
          <w:numId w:val="2"/>
        </w:numPr>
        <w:rPr>
          <w:sz w:val="24"/>
        </w:rPr>
      </w:pPr>
      <w:r>
        <w:rPr>
          <w:sz w:val="24"/>
          <w:u w:val="single"/>
        </w:rPr>
        <w:t>JWM Partners, LLC</w:t>
      </w:r>
      <w:r>
        <w:rPr>
          <w:sz w:val="24"/>
        </w:rPr>
        <w:t xml:space="preserve"> – Investment management firm.  (Application was deferred from August 2</w:t>
      </w:r>
      <w:r>
        <w:rPr>
          <w:sz w:val="24"/>
          <w:vertAlign w:val="superscript"/>
        </w:rPr>
        <w:t>nd</w:t>
      </w:r>
      <w:r>
        <w:rPr>
          <w:sz w:val="24"/>
        </w:rPr>
        <w:t>, Executive Committee meeting for full Board consideration. Executive Committee was inclined to approve, but deferred to the entire Board for consideration of this firm, John Meriwether’s latest venture)</w:t>
      </w:r>
    </w:p>
    <w:p>
      <w:pPr>
        <w:pStyle w:val="Normal"/>
        <w:rPr>
          <w:sz w:val="24"/>
        </w:rPr>
      </w:pPr>
      <w:r>
        <w:rPr>
          <w:sz w:val="24"/>
        </w:rPr>
      </w:r>
    </w:p>
    <w:p>
      <w:pPr>
        <w:pStyle w:val="Normal"/>
        <w:numPr>
          <w:ilvl w:val="0"/>
          <w:numId w:val="2"/>
        </w:numPr>
        <w:rPr>
          <w:sz w:val="24"/>
        </w:rPr>
      </w:pPr>
      <w:r>
        <w:rPr>
          <w:sz w:val="24"/>
          <w:u w:val="single"/>
        </w:rPr>
        <w:t>Glencore International AG</w:t>
      </w:r>
      <w:r>
        <w:rPr>
          <w:sz w:val="24"/>
        </w:rPr>
        <w:t xml:space="preserve"> – A Swiss-based company, previously affiliated with Marc Rich.  Glencore is a diversified natural resources group with worldwide activity in the mining, smelting, refining, processing and trading of metals and minerals, energy and agricultural products.</w:t>
      </w:r>
    </w:p>
    <w:p>
      <w:pPr>
        <w:pStyle w:val="Normal"/>
        <w:rPr>
          <w:sz w:val="24"/>
        </w:rPr>
      </w:pPr>
      <w:r>
        <w:rPr>
          <w:sz w:val="24"/>
        </w:rPr>
      </w:r>
    </w:p>
    <w:p>
      <w:pPr>
        <w:pStyle w:val="Normal"/>
        <w:numPr>
          <w:ilvl w:val="0"/>
          <w:numId w:val="2"/>
        </w:numPr>
        <w:rPr>
          <w:sz w:val="24"/>
        </w:rPr>
      </w:pPr>
      <w:r>
        <w:rPr>
          <w:sz w:val="24"/>
          <w:u w:val="single"/>
        </w:rPr>
        <w:t>Northwater Capital Management Inc.</w:t>
      </w:r>
      <w:r>
        <w:rPr>
          <w:sz w:val="24"/>
        </w:rPr>
        <w:t xml:space="preserve"> (formerly Newcastle Capital Management Inc.) – A Toronto based investment management and software development group of companies, wholly owned by its employees.  Newcastle manages over $8.0 billion in assets, applying innovative investment strategies and sophisticated proprietary software to create optimal portfolios for major institutions.</w:t>
      </w:r>
    </w:p>
    <w:p>
      <w:pPr>
        <w:pStyle w:val="Normal"/>
        <w:rPr>
          <w:sz w:val="24"/>
        </w:rPr>
      </w:pPr>
      <w:r>
        <w:rPr>
          <w:sz w:val="24"/>
        </w:rPr>
      </w:r>
    </w:p>
    <w:p>
      <w:pPr>
        <w:pStyle w:val="Normal"/>
        <w:numPr>
          <w:ilvl w:val="0"/>
          <w:numId w:val="2"/>
        </w:numPr>
        <w:rPr>
          <w:sz w:val="24"/>
        </w:rPr>
      </w:pPr>
      <w:r>
        <w:rPr>
          <w:sz w:val="24"/>
          <w:u w:val="single"/>
        </w:rPr>
        <w:t>Castle Mountain Group, LLC</w:t>
      </w:r>
      <w:r>
        <w:rPr>
          <w:sz w:val="24"/>
        </w:rPr>
        <w:t xml:space="preserve"> – An acquisitions and operations management group based in Michigan.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2001-09-24T12:48:00Z</dcterms:created>
  <dc:creator>Susan Hinko</dc:creator>
  <dc:description/>
  <dc:language>en-CA</dc:language>
  <cp:lastModifiedBy>Susan Hinko</cp:lastModifiedBy>
  <dcterms:modified xsi:type="dcterms:W3CDTF">2001-09-24T12:50:00Z</dcterms:modified>
  <cp:revision>3</cp:revision>
  <dc:subject/>
  <dc:title>Member Applications </dc:title>
</cp:coreProperties>
</file>