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0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0800"/>
      </w:tblGrid>
      <w:tr>
        <w:trPr/>
        <w:tc>
          <w:tcPr>
            <w:tcW w:w="10800" w:type="dxa"/>
            <w:tcBorders>
              <w:top w:val="single" w:sz="6" w:space="0" w:color="FFFFFF"/>
              <w:start w:val="single" w:sz="6" w:space="0" w:color="FFFFFF"/>
              <w:bottom w:val="single" w:sz="18" w:space="0" w:color="000000"/>
              <w:end w:val="single" w:sz="6" w:space="0" w:color="FFFFFF"/>
            </w:tcBorders>
            <w:shd w:fill="E5E5E5" w:val="clear"/>
          </w:tcPr>
          <w:p>
            <w:pPr>
              <w:pStyle w:val="Normal"/>
              <w:snapToGrid w:val="false"/>
              <w:spacing w:lineRule="exact" w:line="144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20"/>
                <w:tab w:val="center" w:pos="528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rPr/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MARCUS ELMORE</w:t>
            </w:r>
          </w:p>
          <w:p>
            <w:pPr>
              <w:pStyle w:val="Normal"/>
              <w:widowControl/>
              <w:tabs>
                <w:tab w:val="clear" w:pos="720"/>
                <w:tab w:val="right" w:pos="10560" w:leader="none"/>
                <w:tab w:val="left" w:pos="10800" w:leader="none"/>
              </w:tabs>
              <w:spacing w:before="0" w:after="270"/>
              <w:rPr>
                <w:sz w:val="22"/>
              </w:rPr>
            </w:pPr>
            <w:r>
              <w:rPr>
                <w:b/>
                <w:sz w:val="22"/>
              </w:rPr>
              <w:t>8519 Hearth                                                Houston, Texas  77054</w:t>
              <w:tab/>
              <w:t>(713)767-4916</w:t>
            </w:r>
          </w:p>
        </w:tc>
      </w:tr>
    </w:tbl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ab/>
      </w:r>
      <w:r>
        <w:rPr>
          <w:b/>
          <w:sz w:val="22"/>
          <w:u w:val="single"/>
        </w:rPr>
        <w:t>CAREER OBJECTIVE</w:t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ab/>
        <w:t>To attain an exciting accounting position that will challenge me to become a true professional while developing my interpersonal and analytical skills.</w:t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b/>
          <w:sz w:val="22"/>
          <w:u w:val="single"/>
        </w:rPr>
        <w:t>EDUCATION</w:t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 xml:space="preserve">Texas Southern University </w:t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 xml:space="preserve">B.B.A. in Accounting   </w:t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Heading3"/>
        <w:ind w:hanging="0" w:start="0"/>
        <w:rPr/>
      </w:pPr>
      <w:r>
        <w:rPr/>
        <w:t>WORK EXPERIENCE</w:t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jc w:val="both"/>
        <w:rPr/>
      </w:pPr>
      <w:r>
        <w:rPr>
          <w:sz w:val="22"/>
        </w:rPr>
        <w:t>09/00- Present</w:t>
        <w:tab/>
      </w:r>
      <w:r>
        <w:rPr>
          <w:b/>
          <w:i/>
          <w:sz w:val="20"/>
          <w:u w:val="single"/>
        </w:rPr>
        <w:t>SENIOR ANALYST</w:t>
      </w:r>
      <w:r>
        <w:rPr>
          <w:sz w:val="22"/>
        </w:rPr>
        <w:t>–</w:t>
      </w:r>
      <w:r>
        <w:rPr>
          <w:b/>
          <w:sz w:val="22"/>
        </w:rPr>
        <w:t>DYNEGY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Responsible for interfacing with commercial group as a liaison between trading, risk management, asset management, and accounting.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Produce financial analysis data on the various regions throughout the U.S.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Develop forecasting models and enhance process flows to maximize the possibilities of profitability on a monthly and daily basis.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Research accounting issues or concerns as it relates to the energy and commercial markets.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Develop processes and schedules to capture data of trading activity on a daily basis.</w:t>
      </w:r>
    </w:p>
    <w:p>
      <w:pPr>
        <w:pStyle w:val="BodyTextIndent"/>
        <w:numPr>
          <w:ilvl w:val="0"/>
          <w:numId w:val="4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Coordinate accounting for trading activity with the generation accounting groups.</w:t>
      </w:r>
    </w:p>
    <w:p>
      <w:pPr>
        <w:pStyle w:val="BodyTextIndent"/>
        <w:ind w:end="540"/>
        <w:rPr/>
      </w:pPr>
      <w:r>
        <w:rPr/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both"/>
        <w:rPr/>
      </w:pPr>
      <w:r>
        <w:rPr>
          <w:sz w:val="22"/>
        </w:rPr>
        <w:t xml:space="preserve">09/95 - 08/00              </w:t>
      </w:r>
      <w:r>
        <w:rPr>
          <w:b/>
          <w:i/>
          <w:sz w:val="20"/>
          <w:u w:val="single"/>
        </w:rPr>
        <w:t>SENIOR ACCOUNTANT</w:t>
      </w:r>
      <w:r>
        <w:rPr>
          <w:b/>
          <w:i/>
          <w:sz w:val="22"/>
        </w:rPr>
        <w:t xml:space="preserve"> </w:t>
      </w:r>
      <w:r>
        <w:rPr>
          <w:b/>
          <w:sz w:val="22"/>
        </w:rPr>
        <w:t>–Equiva Services(Shell and Texaco joint venture)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Produced financial statements and variance analysis of refineries to management.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Responsible for providing timely reconciliation’s to support customers and insure accuracy of month end inventories.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Responsible for cash flow analysis to insure proper payments to outside vendors.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Worked as an accounting liaison between the refinery and managers to insure efficient and effective process flows are conducted properly.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Created forecasting models for budget and operational purposes.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Worked with various due diligence teams and external auditors.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Produced job cost allocation analysis for different BU’s and divisions.</w:t>
      </w:r>
    </w:p>
    <w:p>
      <w:pPr>
        <w:pStyle w:val="Normal"/>
        <w:widowControl/>
        <w:numPr>
          <w:ilvl w:val="0"/>
          <w:numId w:val="2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0"/>
        <w:jc w:val="both"/>
        <w:rPr>
          <w:b/>
          <w:sz w:val="22"/>
        </w:rPr>
      </w:pPr>
      <w:r>
        <w:rPr>
          <w:sz w:val="22"/>
        </w:rPr>
        <w:t>Perform forecast vs actual variance analysis and provide to mgmt.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both"/>
        <w:rPr>
          <w:sz w:val="22"/>
        </w:rPr>
      </w:pPr>
      <w:r>
        <w:rPr>
          <w:sz w:val="22"/>
        </w:rPr>
        <w:t xml:space="preserve">08/93 – 07/95  </w:t>
      </w:r>
      <w:r>
        <w:rPr>
          <w:b/>
          <w:i/>
          <w:sz w:val="22"/>
        </w:rPr>
        <w:tab/>
      </w:r>
      <w:r>
        <w:rPr>
          <w:b/>
          <w:i/>
          <w:sz w:val="20"/>
          <w:u w:val="single"/>
        </w:rPr>
        <w:t>BUDGET ANALYST</w:t>
      </w:r>
      <w:r>
        <w:rPr>
          <w:b/>
          <w:sz w:val="22"/>
        </w:rPr>
        <w:t xml:space="preserve"> –Houston Lighting &amp; Power</w:t>
      </w:r>
    </w:p>
    <w:p>
      <w:pPr>
        <w:pStyle w:val="BlockText"/>
        <w:numPr>
          <w:ilvl w:val="0"/>
          <w:numId w:val="3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Prepared financial forecasts for monthly, five-year and ten year budgeting projects.</w:t>
      </w:r>
    </w:p>
    <w:p>
      <w:pPr>
        <w:pStyle w:val="BlockText"/>
        <w:numPr>
          <w:ilvl w:val="0"/>
          <w:numId w:val="3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Provided financial reports to both internal and external clients for budgeting purposes.</w:t>
      </w:r>
    </w:p>
    <w:p>
      <w:pPr>
        <w:pStyle w:val="BlockText"/>
        <w:numPr>
          <w:ilvl w:val="0"/>
          <w:numId w:val="3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Conducted user training on the Corporate Budget System regarding financial data input, variance analysis, forecasting, and report generation.</w:t>
      </w:r>
    </w:p>
    <w:p>
      <w:pPr>
        <w:pStyle w:val="BlockText"/>
        <w:numPr>
          <w:ilvl w:val="0"/>
          <w:numId w:val="3"/>
        </w:numPr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hanging="360" w:start="2520" w:end="540"/>
        <w:rPr/>
      </w:pPr>
      <w:r>
        <w:rPr/>
        <w:t>Developed training manuals for the Corporate Budget Class; monitored software system operations to troubleshoot problems.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start="2880" w:end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SPECIAL SKILLS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center"/>
        <w:rPr/>
      </w:pPr>
      <w:r>
        <w:rPr>
          <w:sz w:val="22"/>
        </w:rPr>
        <w:t xml:space="preserve">Microsoft Office – </w:t>
      </w:r>
      <w:r>
        <w:rPr>
          <w:b/>
          <w:sz w:val="22"/>
        </w:rPr>
        <w:t xml:space="preserve">MS Word, Excel, Access, PowerPoint, Word Perfect, and Outlook.  </w:t>
      </w:r>
      <w:r>
        <w:rPr>
          <w:sz w:val="22"/>
        </w:rPr>
        <w:t xml:space="preserve"> 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jc w:val="center"/>
        <w:rPr/>
      </w:pPr>
      <w:r>
        <w:rPr>
          <w:sz w:val="22"/>
        </w:rPr>
        <w:t xml:space="preserve">Knowledge of </w:t>
      </w:r>
      <w:r>
        <w:rPr>
          <w:b/>
          <w:sz w:val="22"/>
        </w:rPr>
        <w:t>SAP, PeopleSoft</w:t>
      </w:r>
      <w:r>
        <w:rPr>
          <w:sz w:val="22"/>
        </w:rPr>
        <w:t xml:space="preserve"> </w:t>
      </w:r>
    </w:p>
    <w:p>
      <w:pPr>
        <w:pStyle w:val="Normal"/>
        <w:widowControl/>
        <w:tabs>
          <w:tab w:val="left" w:pos="-36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450" w:leader="none"/>
          <w:tab w:val="left" w:pos="10080" w:leader="none"/>
          <w:tab w:val="left" w:pos="10800" w:leader="none"/>
        </w:tabs>
        <w:ind w:end="-288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rPr/>
      </w:pPr>
      <w:r>
        <w:rPr/>
        <w:t>HONORS and ORGANIZATIONS</w:t>
      </w:r>
    </w:p>
    <w:p>
      <w:pPr>
        <w:pStyle w:val="Normal"/>
        <w:rPr/>
      </w:pPr>
      <w:r>
        <w:rPr/>
        <w:t>City Wide Club of Clubs Volunteer(15 years).  Vice President of Straight Talk for Teens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990" w:right="81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left" w:pos="-36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450" w:leader="none"/>
        <w:tab w:val="left" w:pos="10080" w:leader="none"/>
        <w:tab w:val="left" w:pos="10800" w:leader="none"/>
      </w:tabs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center" w:pos="5544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450" w:leader="none"/>
        <w:tab w:val="left" w:pos="10080" w:leader="none"/>
        <w:tab w:val="left" w:pos="10800" w:leader="none"/>
      </w:tabs>
      <w:ind w:hanging="0" w:start="0" w:end="-288"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jc w:val="both"/>
      <w:outlineLvl w:val="2"/>
    </w:pPr>
    <w:rPr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/>
      <w:tabs>
        <w:tab w:val="left" w:pos="-36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450" w:leader="none"/>
        <w:tab w:val="left" w:pos="10080" w:leader="none"/>
        <w:tab w:val="left" w:pos="10800" w:leader="none"/>
      </w:tabs>
      <w:ind w:hanging="0" w:start="2160" w:end="0"/>
      <w:jc w:val="both"/>
    </w:pPr>
    <w:rPr>
      <w:sz w:val="22"/>
    </w:rPr>
  </w:style>
  <w:style w:type="paragraph" w:styleId="BlockText">
    <w:name w:val="Block Text"/>
    <w:basedOn w:val="Normal"/>
    <w:qFormat/>
    <w:pPr>
      <w:widowControl/>
      <w:tabs>
        <w:tab w:val="left" w:pos="-36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450" w:leader="none"/>
        <w:tab w:val="left" w:pos="10080" w:leader="none"/>
        <w:tab w:val="left" w:pos="10800" w:leader="none"/>
      </w:tabs>
      <w:ind w:hanging="0" w:start="2160" w:end="540"/>
      <w:jc w:val="both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2001-10-22T11:42:00Z</dcterms:created>
  <dc:creator>TAMIKO CLEVELAND</dc:creator>
  <dc:description/>
  <dc:language>en-CA</dc:language>
  <cp:lastModifiedBy>arandolp</cp:lastModifiedBy>
  <cp:lastPrinted>2001-02-26T11:34:00Z</cp:lastPrinted>
  <dcterms:modified xsi:type="dcterms:W3CDTF">2001-10-22T11:42:00Z</dcterms:modified>
  <cp:revision>2</cp:revision>
  <dc:subject/>
  <dc:title/>
</cp:coreProperties>
</file>