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before="100" w:after="100"/>
        <w:rPr/>
      </w:pPr>
      <w:r>
        <w:rPr/>
      </w:r>
    </w:p>
    <w:tbl>
      <w:tblPr>
        <w:tblW w:w="9810" w:type="dxa"/>
        <w:jc w:val="start"/>
        <w:tblInd w:w="277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1710"/>
        <w:gridCol w:w="8100"/>
      </w:tblGrid>
      <w:tr>
        <w:trPr/>
        <w:tc>
          <w:tcPr>
            <w:tcW w:w="1710" w:type="dxa"/>
            <w:tcBorders/>
            <w:vAlign w:val="center"/>
          </w:tcPr>
          <w:p>
            <w:pPr>
              <w:pStyle w:val="Normal"/>
              <w:spacing w:before="100" w:after="100"/>
              <w:rPr>
                <w:lang w:val="en-CA" w:eastAsia="en-CA"/>
              </w:rPr>
            </w:pPr>
            <w:r>
              <w:rPr>
                <w:lang w:val="en-CA" w:eastAsia="en-CA"/>
              </w:rPr>
              <w:drawing>
                <wp:inline distT="0" distB="0" distL="0" distR="0">
                  <wp:extent cx="771525" cy="771525"/>
                  <wp:effectExtent l="0" t="0" r="0" b="0"/>
                  <wp:docPr id="1" name="med_logo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_logo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"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/>
          </w:tcPr>
          <w:p>
            <w:pPr>
              <w:pStyle w:val="Normal"/>
              <w:widowControl w:val="false"/>
              <w:bidi w:val="0"/>
              <w:spacing w:before="100" w:after="100"/>
              <w:rPr/>
            </w:pPr>
            <w:r>
              <w:rPr>
                <w:sz w:val="72"/>
              </w:rPr>
              <w:t>Media  Training Workshop</w:t>
            </w:r>
            <w:r>
              <w:rPr/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68" w:type="dxa"/>
        <w:jc w:val="center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214"/>
        <w:gridCol w:w="7554"/>
      </w:tblGrid>
      <w:tr>
        <w:trPr>
          <w:trHeight w:val="450" w:hRule="atLeast"/>
        </w:trPr>
        <w:tc>
          <w:tcPr>
            <w:tcW w:w="9768" w:type="dxa"/>
            <w:gridSpan w:val="2"/>
            <w:tcBorders/>
            <w:shd w:fill="0000FF" w:val="clear"/>
            <w:vAlign w:val="center"/>
          </w:tcPr>
          <w:p>
            <w:pPr>
              <w:pStyle w:val="Heading1"/>
              <w:spacing w:before="100" w:after="100"/>
              <w:ind w:hanging="0" w:start="0"/>
              <w:rPr>
                <w:b/>
                <w:i/>
                <w:i/>
                <w:color w:val="FFFFFF"/>
              </w:rPr>
            </w:pPr>
            <w:r>
              <w:rPr/>
              <w:t>Providing comprehensive training for both beginners and advanced professionals</w:t>
            </w:r>
          </w:p>
        </w:tc>
        <w:tc>
          <w:tcPr>
            <w:tcW w:w="0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spacing w:before="100" w:after="100"/>
              <w:rPr>
                <w:b/>
                <w:i/>
                <w:i/>
                <w:color w:val="FFFFFF"/>
              </w:rPr>
            </w:pPr>
            <w:r>
              <w:rPr>
                <w:b/>
                <w:i/>
                <w:color w:val="FFFFFF"/>
              </w:rPr>
            </w:r>
          </w:p>
        </w:tc>
      </w:tr>
      <w:tr>
        <w:trPr>
          <w:trHeight w:val="9540" w:hRule="atLeast"/>
        </w:trPr>
        <w:tc>
          <w:tcPr>
            <w:tcW w:w="2214" w:type="dxa"/>
            <w:tcBorders/>
            <w:shd w:fill="00FFFF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Thank you to Cadence Design Systems for hosting the workshop at: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2655 Seely Road, Bldg 5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San Jose, CA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Pebble Beach Auditorium</w:t>
            </w:r>
          </w:p>
          <w:p>
            <w:pPr>
              <w:pStyle w:val="DefinitionTerm"/>
              <w:spacing w:before="100" w:after="100"/>
              <w:rPr/>
            </w:pPr>
            <w:r>
              <w:rPr/>
              <w:t> 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sz w:val="20"/>
                <w:u w:val="single"/>
              </w:rPr>
              <w:t>Workshop dates &amp; times</w:t>
            </w:r>
            <w:r>
              <w:rPr>
                <w:rFonts w:cs="Arial" w:ascii="Arial" w:hAnsi="Arial"/>
                <w:sz w:val="20"/>
              </w:rPr>
              <w:t>:</w:t>
            </w:r>
          </w:p>
          <w:p>
            <w:pPr>
              <w:pStyle w:val="Normal"/>
              <w:spacing w:before="0" w:after="0"/>
              <w:rPr/>
            </w:pPr>
            <w:r>
              <w:rPr/>
              <w:t> </w:t>
            </w:r>
          </w:p>
          <w:p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Module I 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April 26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8:00 –12:00</w:t>
            </w:r>
          </w:p>
          <w:p>
            <w:pPr>
              <w:pStyle w:val="Normal"/>
              <w:spacing w:before="0" w:after="0"/>
              <w:rPr/>
            </w:pPr>
            <w:r>
              <w:rPr/>
              <w:t> 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Module II 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April 26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1:00—4:30</w:t>
            </w:r>
          </w:p>
          <w:p>
            <w:pPr>
              <w:pStyle w:val="Normal"/>
              <w:spacing w:before="0" w:after="0"/>
              <w:rPr/>
            </w:pPr>
            <w:r>
              <w:rPr/>
              <w:t> </w:t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or</w:t>
            </w:r>
          </w:p>
          <w:p>
            <w:pPr>
              <w:pStyle w:val="Normal"/>
              <w:spacing w:before="0" w:after="0"/>
              <w:rPr/>
            </w:pPr>
            <w:r>
              <w:rPr/>
              <w:t> 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Module II April 27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8:00—12:00</w:t>
            </w:r>
          </w:p>
          <w:p>
            <w:pPr>
              <w:pStyle w:val="Normal"/>
              <w:rPr/>
            </w:pPr>
            <w:r>
              <w:rPr/>
              <w:t> 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0"/>
              </w:rPr>
              <w:t xml:space="preserve">While Module I section is open to all registrants, each of the Module II sections is </w:t>
            </w:r>
            <w:r>
              <w:rPr>
                <w:rFonts w:cs="Arial" w:ascii="Arial" w:hAnsi="Arial"/>
                <w:sz w:val="20"/>
                <w:u w:val="single"/>
              </w:rPr>
              <w:t xml:space="preserve">only open to the first 15 </w:t>
            </w:r>
            <w:r>
              <w:rPr>
                <w:rFonts w:cs="Arial" w:ascii="Arial" w:hAnsi="Arial"/>
                <w:sz w:val="20"/>
              </w:rPr>
              <w:t>registrants. The same information is reviewed in both Module II classes.</w:t>
            </w:r>
          </w:p>
          <w:p>
            <w:pPr>
              <w:pStyle w:val="Normal"/>
              <w:rPr/>
            </w:pPr>
            <w:r>
              <w:rPr/>
              <w:t> </w:t>
            </w:r>
          </w:p>
          <w:p>
            <w:pPr>
              <w:pStyle w:val="Normal"/>
              <w:rPr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REGISTRATION FEES:</w:t>
            </w:r>
          </w:p>
          <w:p>
            <w:pPr>
              <w:pStyle w:val="Normal"/>
              <w:rPr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MODULE I = $100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sz w:val="20"/>
              </w:rPr>
              <w:t>MODULE I &amp; II = $250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i/>
                <w:i/>
                <w:sz w:val="18"/>
              </w:rPr>
            </w:pPr>
            <w:r>
              <w:rPr>
                <w:rFonts w:cs="Arial" w:ascii="Arial" w:hAnsi="Arial"/>
                <w:i/>
                <w:sz w:val="18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sz w:val="20"/>
                <w:u w:val="single"/>
              </w:rPr>
              <w:t>Workshop dates &amp; times</w:t>
            </w:r>
            <w:r>
              <w:rPr>
                <w:rFonts w:cs="Arial" w:ascii="Arial" w:hAnsi="Arial"/>
                <w:sz w:val="20"/>
              </w:rPr>
              <w:t>:</w:t>
            </w:r>
          </w:p>
          <w:p>
            <w:pPr>
              <w:pStyle w:val="Normal"/>
              <w:spacing w:before="0" w:after="0"/>
              <w:rPr/>
            </w:pPr>
            <w:r>
              <w:rPr/>
              <w:t> </w:t>
            </w:r>
          </w:p>
          <w:p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Module I 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April 26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8:00 –12:00</w:t>
            </w:r>
          </w:p>
          <w:p>
            <w:pPr>
              <w:pStyle w:val="Normal"/>
              <w:spacing w:before="0" w:after="0"/>
              <w:rPr/>
            </w:pPr>
            <w:r>
              <w:rPr/>
              <w:t> 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Module II 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April 26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1:00—4:30</w:t>
            </w:r>
          </w:p>
          <w:p>
            <w:pPr>
              <w:pStyle w:val="Normal"/>
              <w:spacing w:before="0" w:after="0"/>
              <w:rPr/>
            </w:pPr>
            <w:r>
              <w:rPr/>
              <w:t> </w:t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or</w:t>
            </w:r>
          </w:p>
          <w:p>
            <w:pPr>
              <w:pStyle w:val="Normal"/>
              <w:spacing w:before="0" w:after="0"/>
              <w:rPr/>
            </w:pPr>
            <w:r>
              <w:rPr/>
              <w:t> 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Module II April 27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8:00—12:00</w:t>
            </w:r>
          </w:p>
          <w:p>
            <w:pPr>
              <w:pStyle w:val="Normal"/>
              <w:rPr/>
            </w:pPr>
            <w:r>
              <w:rPr/>
              <w:t> 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While Module I section is open to all registrants, each of the Module II sections is </w:t>
            </w:r>
            <w:r>
              <w:rPr>
                <w:rFonts w:cs="Arial" w:ascii="Arial" w:hAnsi="Arial"/>
                <w:sz w:val="20"/>
                <w:u w:val="single"/>
              </w:rPr>
              <w:t xml:space="preserve">only open to the first 15 </w:t>
            </w:r>
            <w:r>
              <w:rPr>
                <w:rFonts w:cs="Arial" w:ascii="Arial" w:hAnsi="Arial"/>
                <w:sz w:val="20"/>
              </w:rPr>
              <w:t>registrants. The same information is reviewed in both Module II classes.</w:t>
            </w:r>
          </w:p>
          <w:p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before="100" w:after="10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226 Airport Parkway, Suite 190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San Jose, CA 95110</w:t>
            </w:r>
          </w:p>
          <w:p>
            <w:pPr>
              <w:pStyle w:val="Normal"/>
              <w:spacing w:before="0" w:after="0"/>
              <w:jc w:val="center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cs="Arial" w:ascii="Arial" w:hAnsi="Arial"/>
                <w:sz w:val="18"/>
              </w:rPr>
              <w:t>www.svmg.org</w:t>
            </w:r>
          </w:p>
          <w:p>
            <w:pPr>
              <w:pStyle w:val="Normal"/>
              <w:spacing w:before="0" w:after="0"/>
              <w:jc w:val="center"/>
              <w:rPr>
                <w:rFonts w:ascii="Franklin Gothic Medium Cond" w:hAnsi="Franklin Gothic Medium Cond" w:cs="Franklin Gothic Medium Cond"/>
                <w:sz w:val="18"/>
              </w:rPr>
            </w:pPr>
            <w:r>
              <w:rPr>
                <w:rFonts w:cs="Franklin Gothic Medium Cond" w:ascii="Franklin Gothic Medium Cond" w:hAnsi="Franklin Gothic Medium Cond"/>
                <w:sz w:val="1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Phone: (408) 501-7864</w:t>
            </w:r>
          </w:p>
          <w:p>
            <w:pPr>
              <w:pStyle w:val="Normal"/>
              <w:spacing w:before="100" w:after="100"/>
              <w:jc w:val="center"/>
              <w:rPr>
                <w:rFonts w:ascii="Franklin Gothic Medium Cond" w:hAnsi="Franklin Gothic Medium Cond" w:cs="Franklin Gothic Medium Cond"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Fax: (408) 501-7861</w:t>
            </w:r>
          </w:p>
        </w:tc>
        <w:tc>
          <w:tcPr>
            <w:tcW w:w="7554" w:type="dxa"/>
            <w:tcBorders/>
          </w:tcPr>
          <w:p>
            <w:pPr>
              <w:pStyle w:val="Normal"/>
              <w:spacing w:before="100" w:after="100"/>
              <w:jc w:val="center"/>
              <w:rPr/>
            </w:pPr>
            <w:r>
              <w:rPr>
                <w:b/>
              </w:rPr>
              <w:t>T</w:t>
            </w:r>
            <w:r>
              <w:rPr/>
              <w:t xml:space="preserve">he </w:t>
            </w:r>
            <w:r>
              <w:rPr>
                <w:i/>
              </w:rPr>
              <w:t xml:space="preserve">SVMG Media Training Workshop, in partnership with the San Jose / Silicon Valley Chamber of Commerce, </w:t>
            </w:r>
            <w:r>
              <w:rPr/>
              <w:t>is set up to provide media training for everyone from beginner to veteran, with an interactive environment that encourages learning by participation.</w:t>
            </w:r>
          </w:p>
          <w:p>
            <w:pPr>
              <w:pStyle w:val="Normal"/>
              <w:rPr/>
            </w:pPr>
            <w:r>
              <w:rPr/>
              <w:t>The workshop is segmented into two modules that includes an overview of the media in Module I, and a fun, interactive session in Module II, with the second module building on the prior.</w:t>
            </w:r>
          </w:p>
          <w:p>
            <w:pPr>
              <w:pStyle w:val="Normal"/>
              <w:rPr/>
            </w:pPr>
            <w:r>
              <w:rPr>
                <w:u w:val="single"/>
              </w:rPr>
              <w:t>Module I</w:t>
            </w:r>
            <w:r>
              <w:rPr/>
              <w:t xml:space="preserve"> provides an introduction to the media, and is suitable for folks who are new to the public affairs/public relations scene, or individuals who want a refresher course. </w:t>
            </w:r>
            <w:r>
              <w:rPr>
                <w:u w:val="single"/>
              </w:rPr>
              <w:t>Module II</w:t>
            </w:r>
            <w:r>
              <w:rPr/>
              <w:t>, focuses on getting workshop participants on their feet, and applying what they learned in the first module to a series of media interview drills. During this module the media trainer and participants will spend time learning what we did right and how we can improve in key interviewing areas.</w:t>
            </w:r>
          </w:p>
          <w:p>
            <w:pPr>
              <w:pStyle w:val="Normal"/>
              <w:rPr/>
            </w:pPr>
            <w:r>
              <w:rPr/>
              <w:t>SVMG is providing two dates and times for Module II, in order to keep the group size small and increase the level of one-on-one attention you receive from the trainer.</w:t>
            </w:r>
          </w:p>
          <w:p>
            <w:pPr>
              <w:pStyle w:val="Normal"/>
              <w:rPr/>
            </w:pPr>
            <w:r>
              <w:rPr/>
              <w:t>Tripp Frohlichstein of Media Masters, will be the media trainer who will guide us through the two modules. He is truly a "master" at teaching this program, and has done at great job at informing – as well as entertaining – workshop attendees in previous SVMG workshops.</w:t>
            </w:r>
          </w:p>
          <w:p>
            <w:pPr>
              <w:pStyle w:val="Normal"/>
              <w:rPr/>
            </w:pPr>
            <w:r>
              <w:rPr/>
              <w:t>For more information call Michelle at (408) 501-7853.  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YOUR REGISTRATION FORM IS ON THE NEXT PAGE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ALL SESSIONS ARE BEING HELD AT:</w:t>
            </w:r>
          </w:p>
          <w:p>
            <w:pPr>
              <w:pStyle w:val="H3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Cadence Design Systems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2655 Seely Road, Bldg 5, Pebble Beach Auditorium</w:t>
            </w:r>
          </w:p>
          <w:p>
            <w:pPr>
              <w:pStyle w:val="Normal"/>
              <w:spacing w:before="0" w:after="0"/>
              <w:jc w:val="center"/>
              <w:rPr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San Jose, CA 95134</w:t>
            </w:r>
          </w:p>
          <w:p>
            <w:pPr>
              <w:pStyle w:val="H4"/>
              <w:rPr>
                <w:b w:val="false"/>
                <w:sz w:val="28"/>
              </w:rPr>
            </w:pPr>
            <w:r>
              <w:rPr>
                <w:b w:val="false"/>
                <w:sz w:val="28"/>
              </w:rPr>
            </w:r>
          </w:p>
          <w:p>
            <w:pPr>
              <w:pStyle w:val="H4"/>
              <w:rPr/>
            </w:pPr>
            <w:r>
              <w:rPr/>
              <w:t>Name____________________________________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Title_____________________________________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Organization______________________________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Mailing Address___________________________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City/State/Zip______________________________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Telephone_______________Fax______________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Email_____________________________________</w:t>
            </w:r>
          </w:p>
          <w:p>
            <w:pPr>
              <w:pStyle w:val="H4"/>
              <w:keepNext w:val="false"/>
              <w:spacing w:before="0" w:after="0"/>
              <w:outlineLvl w:val="9"/>
              <w:rPr>
                <w:b/>
              </w:rPr>
            </w:pPr>
            <w:r>
              <w:rPr>
                <w:b/>
              </w:rPr>
              <w:t xml:space="preserve">Fees: </w:t>
            </w:r>
          </w:p>
          <w:p>
            <w:pPr>
              <w:pStyle w:val="Normal"/>
              <w:keepNext w:val="false"/>
              <w:spacing w:before="0" w:after="0"/>
              <w:rPr>
                <w:b/>
              </w:rPr>
            </w:pPr>
            <w:r>
              <w:rPr>
                <w:b/>
              </w:rPr>
              <w:t>Module I          $100.00 Registration   [ ]</w:t>
            </w:r>
          </w:p>
          <w:p>
            <w:pPr>
              <w:pStyle w:val="Normal"/>
              <w:spacing w:before="0" w:after="0"/>
              <w:rPr>
                <w:b/>
                <w:sz w:val="28"/>
              </w:rPr>
            </w:pPr>
            <w:r>
              <w:rPr>
                <w:b/>
              </w:rPr>
              <w:t>Module I &amp; II   $ 250.00 Registration   [ ]</w:t>
            </w:r>
            <w:r>
              <w:rPr>
                <w:b/>
                <w:sz w:val="28"/>
              </w:rPr>
              <w:t>**</w:t>
            </w:r>
          </w:p>
          <w:p>
            <w:pPr>
              <w:pStyle w:val="Normal"/>
              <w:spacing w:before="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  <w:sz w:val="28"/>
              </w:rPr>
              <w:t>**</w:t>
            </w:r>
            <w:r>
              <w:rPr>
                <w:rFonts w:cs="Arial" w:ascii="Arial" w:hAnsi="Arial"/>
                <w:b/>
              </w:rPr>
              <w:t>Please circle on the left which Module II session you would like to register.</w:t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TOTAL AMOUNT ENCLOSED $__________</w:t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Form of Payment</w:t>
            </w:r>
          </w:p>
          <w:p>
            <w:pPr>
              <w:pStyle w:val="Normal"/>
              <w:spacing w:before="0" w:after="0"/>
              <w:rPr/>
            </w:pPr>
            <w:r>
              <w:rPr>
                <w:b/>
              </w:rPr>
              <w:t xml:space="preserve">[ ] </w:t>
            </w:r>
            <w:r>
              <w:rPr>
                <w:b/>
                <w:i/>
              </w:rPr>
              <w:t>Pay by check/payable to "</w:t>
            </w:r>
            <w:r>
              <w:rPr>
                <w:b/>
              </w:rPr>
              <w:t>Silicon Valley Manufacturing Group"</w:t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Check # ________________________</w:t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Purchase Order # ________________</w:t>
            </w:r>
          </w:p>
          <w:p>
            <w:pPr>
              <w:pStyle w:val="Normal"/>
              <w:spacing w:before="0" w:after="0"/>
              <w:rPr/>
            </w:pPr>
            <w:r>
              <w:rPr>
                <w:b/>
              </w:rPr>
              <w:t xml:space="preserve">[ ] </w:t>
            </w:r>
            <w:r>
              <w:rPr>
                <w:b/>
                <w:i/>
              </w:rPr>
              <w:t xml:space="preserve">Credit card </w:t>
            </w:r>
            <w:r>
              <w:rPr>
                <w:b/>
              </w:rPr>
              <w:t>_____ Visa _____ Mastercard</w:t>
            </w:r>
          </w:p>
          <w:p>
            <w:pPr>
              <w:pStyle w:val="Normal"/>
              <w:spacing w:before="0" w:after="0"/>
              <w:rPr/>
            </w:pPr>
            <w:r>
              <w:rPr/>
              <w:t>Amount Charged $_______</w:t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Card Number_____________________</w:t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Expiration Date___________________</w:t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Signature________________________</w:t>
            </w:r>
          </w:p>
          <w:p>
            <w:pPr>
              <w:pStyle w:val="Normal"/>
              <w:spacing w:before="0" w:after="0"/>
              <w:rPr>
                <w:b/>
              </w:rPr>
            </w:pPr>
            <w:r>
              <w:rPr>
                <w:b/>
              </w:rPr>
              <w:t>Address and zip code of card holder</w:t>
            </w:r>
          </w:p>
          <w:p>
            <w:pPr>
              <w:pStyle w:val="Normal"/>
              <w:spacing w:before="0" w:after="0"/>
              <w:rPr>
                <w:i/>
                <w:i/>
              </w:rPr>
            </w:pPr>
            <w:r>
              <w:rPr>
                <w:b/>
                <w:i/>
              </w:rPr>
              <w:t>________________________________</w:t>
            </w:r>
          </w:p>
          <w:p>
            <w:pPr>
              <w:pStyle w:val="Normal"/>
              <w:spacing w:before="0" w:after="0"/>
              <w:rPr>
                <w:i/>
                <w:i/>
              </w:rPr>
            </w:pPr>
            <w:r>
              <w:rPr>
                <w:b/>
                <w:i/>
              </w:rPr>
              <w:t>________________________________</w:t>
            </w:r>
          </w:p>
          <w:p>
            <w:pPr>
              <w:pStyle w:val="Normal"/>
              <w:spacing w:before="0" w:after="0"/>
              <w:rPr/>
            </w:pPr>
            <w:r>
              <w:rPr/>
              <w:t> </w:t>
            </w:r>
          </w:p>
        </w:tc>
      </w:tr>
    </w:tbl>
    <w:p>
      <w:pPr>
        <w:pStyle w:val="Normal"/>
        <w:rPr/>
      </w:pPr>
      <w:r>
        <w:rPr/>
      </w:r>
    </w:p>
    <w:tbl>
      <w:tblPr>
        <w:tblW w:w="7857" w:type="dxa"/>
        <w:jc w:val="center"/>
        <w:tblInd w:w="0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3809"/>
        <w:gridCol w:w="1470"/>
        <w:gridCol w:w="2578"/>
      </w:tblGrid>
      <w:tr>
        <w:trPr/>
        <w:tc>
          <w:tcPr>
            <w:tcW w:w="3809" w:type="dxa"/>
            <w:tcBorders/>
            <w:vAlign w:val="center"/>
          </w:tcPr>
          <w:p>
            <w:pPr>
              <w:pStyle w:val="Normal"/>
              <w:snapToGrid w:val="false"/>
              <w:spacing w:before="100" w:after="100"/>
              <w:rPr/>
            </w:pPr>
            <w:r>
              <w:rPr/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spacing w:before="100" w:after="100"/>
              <w:rPr>
                <w:rFonts w:ascii="Arial Black" w:hAnsi="Arial Black" w:cs="Arial Black"/>
                <w:i/>
                <w:i/>
                <w:sz w:val="18"/>
              </w:rPr>
            </w:pPr>
            <w:r>
              <w:rPr>
                <w:rFonts w:cs="Arial Black" w:ascii="Arial Black" w:hAnsi="Arial Black"/>
                <w:i/>
                <w:sz w:val="18"/>
              </w:rPr>
              <w:t>Event co-sponsored by:</w:t>
            </w:r>
          </w:p>
        </w:tc>
        <w:tc>
          <w:tcPr>
            <w:tcW w:w="2578" w:type="dxa"/>
            <w:tcBorders/>
            <w:vAlign w:val="center"/>
          </w:tcPr>
          <w:p>
            <w:pPr>
              <w:pStyle w:val="Normal"/>
              <w:spacing w:before="100" w:after="100"/>
              <w:rPr>
                <w:lang w:val="en-CA" w:eastAsia="en-CA"/>
              </w:rPr>
            </w:pPr>
            <w:r>
              <w:rPr>
                <w:lang w:val="en-CA" w:eastAsia="en-CA"/>
              </w:rPr>
              <w:drawing>
                <wp:inline distT="0" distB="0" distL="0" distR="0">
                  <wp:extent cx="1538605" cy="481330"/>
                  <wp:effectExtent l="0" t="0" r="0" b="0"/>
                  <wp:docPr id="2" name="Chamber%20logo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amber%20logo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"/>
                          <a:srcRect l="-2147483648" t="-2147483648" r="-2147483648" b="-2147483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widowControl w:val="false"/>
        <w:bidi w:val="0"/>
        <w:spacing w:before="100" w:after="100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  <w:font w:name="Franklin Gothic Book">
    <w:charset w:val="00" w:characterSet="windows-1252"/>
    <w:family w:val="auto"/>
    <w:pitch w:val="default"/>
  </w:font>
  <w:font w:name="Franklin Gothic Medium Cond">
    <w:charset w:val="00" w:characterSet="windows-1252"/>
    <w:family w:val="auto"/>
    <w:pitch w:val="default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100" w:after="10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  <w:color w:val="FFFFFF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i/>
    </w:rPr>
  </w:style>
  <w:style w:type="character" w:styleId="DefaultParagraphFont">
    <w:name w:val="Default Paragraph Font"/>
    <w:qFormat/>
    <w:rPr/>
  </w:style>
  <w:style w:type="character" w:styleId="Definition">
    <w:name w:val="Definition"/>
    <w:qFormat/>
    <w:rPr>
      <w:i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 w:cs="Courier New"/>
      <w:sz w:val="20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Keyboard">
    <w:name w:val="Keyboard"/>
    <w:qFormat/>
    <w:rPr>
      <w:rFonts w:ascii="Courier New" w:hAnsi="Courier New" w:cs="Courier New"/>
      <w:b/>
      <w:sz w:val="20"/>
    </w:rPr>
  </w:style>
  <w:style w:type="character" w:styleId="Sample">
    <w:name w:val="Sample"/>
    <w:qFormat/>
    <w:rPr>
      <w:rFonts w:ascii="Courier New" w:hAnsi="Courier New" w:cs="Courier New"/>
    </w:rPr>
  </w:style>
  <w:style w:type="character" w:styleId="Strong">
    <w:name w:val="Strong"/>
    <w:basedOn w:val="DefaultParagraphFont"/>
    <w:qFormat/>
    <w:rPr>
      <w:b/>
    </w:rPr>
  </w:style>
  <w:style w:type="character" w:styleId="Typewriter">
    <w:name w:val="Typewriter"/>
    <w:qFormat/>
    <w:rPr>
      <w:rFonts w:ascii="Courier New" w:hAnsi="Courier New" w:cs="Courier New"/>
      <w:sz w:val="20"/>
    </w:rPr>
  </w:style>
  <w:style w:type="character" w:styleId="Variable">
    <w:name w:val="Variable"/>
    <w:qFormat/>
    <w:rPr>
      <w:i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0"/>
      <w:jc w:val="center"/>
    </w:pPr>
    <w:rPr>
      <w:rFonts w:ascii="Arial" w:hAnsi="Arial" w:cs="Arial"/>
      <w:b/>
      <w:color w:val="FF0000"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efinitionTerm">
    <w:name w:val="Definition Term"/>
    <w:basedOn w:val="Normal"/>
    <w:next w:val="DefinitionList"/>
    <w:qFormat/>
    <w:pPr>
      <w:spacing w:before="0" w:after="0"/>
    </w:pPr>
    <w:rPr/>
  </w:style>
  <w:style w:type="paragraph" w:styleId="DefinitionList">
    <w:name w:val="Definition List"/>
    <w:basedOn w:val="Normal"/>
    <w:next w:val="DefinitionTerm"/>
    <w:qFormat/>
    <w:pPr>
      <w:spacing w:before="0" w:after="0"/>
      <w:ind w:hanging="0" w:start="360" w:end="0"/>
    </w:pPr>
    <w:rPr/>
  </w:style>
  <w:style w:type="paragraph" w:styleId="H1">
    <w:name w:val="H1"/>
    <w:basedOn w:val="Normal"/>
    <w:next w:val="Normal"/>
    <w:qFormat/>
    <w:pPr>
      <w:keepNext w:val="true"/>
      <w:outlineLvl w:val="1"/>
    </w:pPr>
    <w:rPr>
      <w:b/>
      <w:kern w:val="2"/>
      <w:sz w:val="48"/>
    </w:rPr>
  </w:style>
  <w:style w:type="paragraph" w:styleId="H2">
    <w:name w:val="H2"/>
    <w:basedOn w:val="Normal"/>
    <w:next w:val="Normal"/>
    <w:qFormat/>
    <w:pPr>
      <w:keepNext w:val="true"/>
      <w:outlineLvl w:val="2"/>
    </w:pPr>
    <w:rPr>
      <w:b/>
      <w:sz w:val="36"/>
    </w:rPr>
  </w:style>
  <w:style w:type="paragraph" w:styleId="H3">
    <w:name w:val="H3"/>
    <w:basedOn w:val="Normal"/>
    <w:next w:val="Normal"/>
    <w:qFormat/>
    <w:pPr>
      <w:keepNext w:val="true"/>
      <w:outlineLvl w:val="3"/>
    </w:pPr>
    <w:rPr>
      <w:b/>
      <w:sz w:val="28"/>
    </w:rPr>
  </w:style>
  <w:style w:type="paragraph" w:styleId="H4">
    <w:name w:val="H4"/>
    <w:basedOn w:val="Normal"/>
    <w:next w:val="Normal"/>
    <w:qFormat/>
    <w:pPr>
      <w:keepNext w:val="true"/>
      <w:outlineLvl w:val="4"/>
    </w:pPr>
    <w:rPr>
      <w:b/>
    </w:rPr>
  </w:style>
  <w:style w:type="paragraph" w:styleId="H5">
    <w:name w:val="H5"/>
    <w:basedOn w:val="Normal"/>
    <w:next w:val="Normal"/>
    <w:qFormat/>
    <w:pPr>
      <w:keepNext w:val="true"/>
      <w:outlineLvl w:val="5"/>
    </w:pPr>
    <w:rPr>
      <w:b/>
      <w:sz w:val="20"/>
    </w:rPr>
  </w:style>
  <w:style w:type="paragraph" w:styleId="H6">
    <w:name w:val="H6"/>
    <w:basedOn w:val="Normal"/>
    <w:next w:val="Normal"/>
    <w:qFormat/>
    <w:pPr>
      <w:keepNext w:val="true"/>
      <w:outlineLvl w:val="6"/>
    </w:pPr>
    <w:rPr>
      <w:b/>
      <w:sz w:val="16"/>
    </w:rPr>
  </w:style>
  <w:style w:type="paragraph" w:styleId="Address">
    <w:name w:val="Address"/>
    <w:basedOn w:val="Normal"/>
    <w:next w:val="Normal"/>
    <w:qFormat/>
    <w:pPr>
      <w:spacing w:before="0" w:after="0"/>
    </w:pPr>
    <w:rPr>
      <w:i/>
    </w:rPr>
  </w:style>
  <w:style w:type="paragraph" w:styleId="Blockquote">
    <w:name w:val="Blockquote"/>
    <w:basedOn w:val="Normal"/>
    <w:qFormat/>
    <w:pPr>
      <w:ind w:hanging="0" w:start="360" w:end="36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cs="Courier New"/>
      <w:sz w:val="20"/>
    </w:rPr>
  </w:style>
  <w:style w:type="paragraph" w:styleId="z-BottomofForm">
    <w:name w:val="z-Bottom of Form"/>
    <w:next w:val="Normal"/>
    <w:qFormat/>
    <w:pPr>
      <w:widowControl w:val="false"/>
      <w:pBdr>
        <w:top w:val="double" w:sz="2" w:space="0" w:color="000000"/>
      </w:pBdr>
      <w:bidi w:val="0"/>
      <w:jc w:val="center"/>
    </w:pPr>
    <w:rPr>
      <w:rFonts w:ascii="Arial" w:hAnsi="Arial" w:eastAsia="Times New Roman" w:cs="Arial"/>
      <w:vanish/>
      <w:color w:val="auto"/>
      <w:sz w:val="16"/>
      <w:szCs w:val="20"/>
      <w:lang w:val="en-US" w:eastAsia="en-US" w:bidi="hi-IN"/>
    </w:rPr>
  </w:style>
  <w:style w:type="paragraph" w:styleId="z-TopofForm">
    <w:name w:val="z-Top of Form"/>
    <w:next w:val="Normal"/>
    <w:qFormat/>
    <w:pPr>
      <w:widowControl w:val="false"/>
      <w:pBdr>
        <w:bottom w:val="double" w:sz="2" w:space="0" w:color="000000"/>
      </w:pBdr>
      <w:bidi w:val="0"/>
      <w:jc w:val="center"/>
    </w:pPr>
    <w:rPr>
      <w:rFonts w:ascii="Arial" w:hAnsi="Arial" w:eastAsia="Times New Roman" w:cs="Arial"/>
      <w:vanish/>
      <w:color w:val="auto"/>
      <w:sz w:val="16"/>
      <w:szCs w:val="20"/>
      <w:lang w:val="en-US" w:eastAsia="en-US" w:bidi="hi-IN"/>
    </w:rPr>
  </w:style>
  <w:style w:type="paragraph" w:styleId="BodyText2">
    <w:name w:val="Body Text 2"/>
    <w:basedOn w:val="Normal"/>
    <w:qFormat/>
    <w:pPr>
      <w:jc w:val="center"/>
    </w:pPr>
    <w:rPr>
      <w:rFonts w:ascii="Arial Narrow" w:hAnsi="Arial Narrow" w:cs="Arial Narrow"/>
      <w:b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://svmg.org/common_images/med_logo.gif" TargetMode="External"/><Relationship Id="rId3" Type="http://schemas.openxmlformats.org/officeDocument/2006/relationships/image" Target="http://svmg.org/images/Chamber%20logo.gi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2001-03-14T19:46:00Z</dcterms:created>
  <dc:creator>Phyliss</dc:creator>
  <dc:description/>
  <dc:language>en-CA</dc:language>
  <cp:lastModifiedBy>Phyliss</cp:lastModifiedBy>
  <cp:lastPrinted>2001-03-14T14:59:00Z</cp:lastPrinted>
  <dcterms:modified xsi:type="dcterms:W3CDTF">2001-03-14T20:30:00Z</dcterms:modified>
  <cp:revision>8</cp:revision>
  <dc:subject/>
  <dc:title>Media Training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windows-1252</vt:lpwstr>
  </property>
  <property fmtid="{D5CDD505-2E9C-101B-9397-08002B2CF9AE}" pid="3" name="GENERATOR">
    <vt:lpwstr>Microsoft FrontPage 4.0</vt:lpwstr>
  </property>
  <property fmtid="{D5CDD505-2E9C-101B-9397-08002B2CF9AE}" pid="4" name="HTML">
    <vt:bool>1</vt:bool>
  </property>
  <property fmtid="{D5CDD505-2E9C-101B-9397-08002B2CF9AE}" pid="5" name="ProgId">
    <vt:lpwstr>FrontPage.Editor.Document</vt:lpwstr>
  </property>
  <property fmtid="{D5CDD505-2E9C-101B-9397-08002B2CF9AE}" pid="6" name="UnknownHead_0_1_0">
    <vt:lpwstr>&lt;META HTTP-EQUIV="Content-Language" CONTENT="en-us"&gt;</vt:lpwstr>
  </property>
</Properties>
</file>