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CONFIDENTIAL</w:t>
      </w:r>
    </w:p>
    <w:p>
      <w:pPr>
        <w:pStyle w:val="Heading"/>
        <w:rPr>
          <w:u w:val="single"/>
        </w:rPr>
      </w:pPr>
      <w:r>
        <w:rPr>
          <w:u w:val="single"/>
        </w:rPr>
      </w:r>
    </w:p>
    <w:p>
      <w:pPr>
        <w:pStyle w:val="Heading"/>
        <w:rPr/>
      </w:pPr>
      <w:r>
        <w:rPr/>
        <w:t>Summary of Proposed Compensation Arrangements</w:t>
      </w:r>
    </w:p>
    <w:p>
      <w:pPr>
        <w:pStyle w:val="Heading"/>
        <w:rPr>
          <w:b w:val="false"/>
          <w:bCs w:val="false"/>
        </w:rPr>
      </w:pPr>
      <w:r>
        <w:rPr/>
        <w:t>For Michael Capellas</w:t>
      </w:r>
    </w:p>
    <w:p>
      <w:pPr>
        <w:pStyle w:val="Heading"/>
        <w:rPr>
          <w:b w:val="false"/>
          <w:bCs w:val="false"/>
        </w:rPr>
      </w:pPr>
      <w:r>
        <w:rPr>
          <w:b w:val="false"/>
          <w:bCs w:val="false"/>
        </w:rPr>
      </w:r>
    </w:p>
    <w:tbl>
      <w:tblPr>
        <w:tblW w:w="13428" w:type="dxa"/>
        <w:jc w:val="start"/>
        <w:tblInd w:w="0" w:type="dxa"/>
        <w:tblLayout w:type="fixed"/>
        <w:tblCellMar>
          <w:top w:w="0" w:type="dxa"/>
          <w:start w:w="108" w:type="dxa"/>
          <w:bottom w:w="0" w:type="dxa"/>
          <w:end w:w="108" w:type="dxa"/>
        </w:tblCellMar>
      </w:tblPr>
      <w:tblGrid>
        <w:gridCol w:w="2628"/>
        <w:gridCol w:w="5040"/>
        <w:gridCol w:w="5760"/>
      </w:tblGrid>
      <w:tr>
        <w:trPr>
          <w:tblHeader w:val="true"/>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pPr>
            <w:r>
              <w:rPr/>
              <w:t>Issue</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pPr>
            <w:r>
              <w:rPr/>
              <w:t>Current Provisions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pPr>
            <w:r>
              <w:rPr/>
              <w:t>Recommendation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 of Agreement</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3-year initial term, automatically renewed annually for successive one-year terms thereafter</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 – begin new initial 3-year term with appointment as Chairman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Base Salary</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$1.3 million</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$1.6 million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Annual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Target bonus of 2x base salary</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Restricted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Granted 200,000 shares under original agreement:</w:t>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 xml:space="preserve">Vest based on achievement of stock performance targets:  </w:t>
            </w:r>
          </w:p>
          <w:p>
            <w:pPr>
              <w:pStyle w:val="Heading"/>
              <w:numPr>
                <w:ilvl w:val="1"/>
                <w:numId w:val="2"/>
              </w:numPr>
              <w:jc w:val="start"/>
              <w:rPr>
                <w:b w:val="false"/>
                <w:bCs w:val="false"/>
              </w:rPr>
            </w:pPr>
            <w:r>
              <w:rPr>
                <w:b w:val="false"/>
                <w:bCs w:val="false"/>
              </w:rPr>
              <w:t>50,000 vest when stock hits $35</w:t>
            </w:r>
          </w:p>
          <w:p>
            <w:pPr>
              <w:pStyle w:val="Heading"/>
              <w:numPr>
                <w:ilvl w:val="1"/>
                <w:numId w:val="2"/>
              </w:numPr>
              <w:jc w:val="start"/>
              <w:rPr>
                <w:b w:val="false"/>
                <w:bCs w:val="false"/>
              </w:rPr>
            </w:pPr>
            <w:r>
              <w:rPr>
                <w:b w:val="false"/>
                <w:bCs w:val="false"/>
              </w:rPr>
              <w:t>an additional 50,000 when stock hits $40, and</w:t>
            </w:r>
          </w:p>
          <w:p>
            <w:pPr>
              <w:pStyle w:val="Heading"/>
              <w:numPr>
                <w:ilvl w:val="1"/>
                <w:numId w:val="2"/>
              </w:numPr>
              <w:jc w:val="start"/>
              <w:rPr>
                <w:b w:val="false"/>
                <w:bCs w:val="false"/>
              </w:rPr>
            </w:pPr>
            <w:r>
              <w:rPr>
                <w:b w:val="false"/>
                <w:bCs w:val="false"/>
              </w:rPr>
              <w:t>remaining 100,000 when stock hits $50</w:t>
            </w:r>
          </w:p>
          <w:p>
            <w:pPr>
              <w:pStyle w:val="Heading"/>
              <w:numPr>
                <w:ilvl w:val="0"/>
                <w:numId w:val="2"/>
              </w:numPr>
              <w:jc w:val="start"/>
              <w:rPr>
                <w:b w:val="false"/>
                <w:bCs w:val="false"/>
              </w:rPr>
            </w:pPr>
            <w:r>
              <w:rPr>
                <w:b w:val="false"/>
                <w:bCs w:val="false"/>
              </w:rPr>
              <w:t>Alternatively, will vest on July 22, 2004 if not vested before</w:t>
            </w:r>
          </w:p>
          <w:p>
            <w:pPr>
              <w:pStyle w:val="Heading"/>
              <w:numPr>
                <w:ilvl w:val="0"/>
                <w:numId w:val="2"/>
              </w:numPr>
              <w:jc w:val="start"/>
              <w:rPr>
                <w:b w:val="false"/>
                <w:bCs w:val="false"/>
              </w:rPr>
            </w:pPr>
            <w:r>
              <w:rPr>
                <w:b w:val="false"/>
                <w:bCs w:val="false"/>
              </w:rPr>
              <w:t>Vested on pro-rata basis if incurs “qualifying termination” (e.g., terminated without cause, resignation following certain changes in comp or responsibilities)</w:t>
            </w:r>
          </w:p>
          <w:p>
            <w:pPr>
              <w:pStyle w:val="Heading"/>
              <w:numPr>
                <w:ilvl w:val="0"/>
                <w:numId w:val="2"/>
              </w:numPr>
              <w:jc w:val="start"/>
              <w:rPr>
                <w:b w:val="false"/>
                <w:bCs w:val="false"/>
              </w:rPr>
            </w:pPr>
            <w:r>
              <w:rPr>
                <w:b w:val="false"/>
                <w:bCs w:val="false"/>
              </w:rPr>
              <w:t>Automatically vest upon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1999 grant governed by original terms</w:t>
            </w:r>
          </w:p>
          <w:p>
            <w:pPr>
              <w:pStyle w:val="Heading"/>
              <w:jc w:val="start"/>
              <w:rPr>
                <w:b w:val="false"/>
                <w:bCs w:val="false"/>
              </w:rPr>
            </w:pPr>
            <w:r>
              <w:rPr>
                <w:b w:val="false"/>
                <w:bCs w:val="false"/>
              </w:rPr>
            </w:r>
          </w:p>
          <w:p>
            <w:pPr>
              <w:pStyle w:val="Heading"/>
              <w:jc w:val="start"/>
              <w:rPr>
                <w:b w:val="false"/>
                <w:bCs w:val="false"/>
              </w:rPr>
            </w:pPr>
            <w:r>
              <w:rPr>
                <w:b w:val="false"/>
                <w:bCs w:val="false"/>
              </w:rPr>
              <w:t>Grant an additional 970,000 shares:</w:t>
            </w:r>
          </w:p>
          <w:p>
            <w:pPr>
              <w:pStyle w:val="Heading"/>
              <w:jc w:val="start"/>
              <w:rPr>
                <w:b w:val="false"/>
                <w:bCs w:val="false"/>
              </w:rPr>
            </w:pPr>
            <w:r>
              <w:rPr>
                <w:b w:val="false"/>
                <w:bCs w:val="false"/>
              </w:rPr>
            </w:r>
          </w:p>
          <w:p>
            <w:pPr>
              <w:pStyle w:val="Heading"/>
              <w:numPr>
                <w:ilvl w:val="0"/>
                <w:numId w:val="3"/>
              </w:numPr>
              <w:jc w:val="start"/>
              <w:rPr>
                <w:b w:val="false"/>
                <w:bCs w:val="false"/>
              </w:rPr>
            </w:pPr>
            <w:r>
              <w:rPr>
                <w:b w:val="false"/>
                <w:bCs w:val="false"/>
              </w:rPr>
              <w:t>470,000 vest as follows:  170,000 within one month of grant, and 100,000 upon each anniversary of that date for the next three years</w:t>
            </w:r>
          </w:p>
          <w:p>
            <w:pPr>
              <w:pStyle w:val="Heading"/>
              <w:numPr>
                <w:ilvl w:val="0"/>
                <w:numId w:val="3"/>
              </w:numPr>
              <w:jc w:val="start"/>
              <w:rPr>
                <w:b w:val="false"/>
                <w:bCs w:val="false"/>
              </w:rPr>
            </w:pPr>
            <w:r>
              <w:rPr>
                <w:b w:val="false"/>
                <w:bCs w:val="false"/>
              </w:rPr>
              <w:t>500,000 vest based only on achievement of performance criteria:</w:t>
            </w:r>
          </w:p>
          <w:p>
            <w:pPr>
              <w:pStyle w:val="Heading"/>
              <w:numPr>
                <w:ilvl w:val="1"/>
                <w:numId w:val="3"/>
              </w:numPr>
              <w:jc w:val="start"/>
              <w:rPr>
                <w:b w:val="false"/>
                <w:bCs w:val="false"/>
              </w:rPr>
            </w:pPr>
            <w:r>
              <w:rPr>
                <w:b w:val="false"/>
                <w:bCs w:val="false"/>
              </w:rPr>
              <w:t>250,000 based on stock price –  vests in increments of 50,000 shares each at $30, $35, $40, $45, and $50, where target stock price is measured by average closing price over 15 consecutive trading days – forfeits if not vested by November 1, 2004</w:t>
            </w:r>
          </w:p>
          <w:p>
            <w:pPr>
              <w:pStyle w:val="Heading"/>
              <w:numPr>
                <w:ilvl w:val="1"/>
                <w:numId w:val="3"/>
              </w:numPr>
              <w:jc w:val="start"/>
              <w:rPr>
                <w:b w:val="false"/>
                <w:bCs w:val="false"/>
              </w:rPr>
            </w:pPr>
            <w:r>
              <w:rPr>
                <w:b w:val="false"/>
                <w:bCs w:val="false"/>
              </w:rPr>
              <w:t>250,000 based on relative growth in Compaq’s EPS (excluding investment gains) compared to average EPS growth for Dell, IBM, and HP</w:t>
            </w:r>
          </w:p>
          <w:p>
            <w:pPr>
              <w:pStyle w:val="Heading"/>
              <w:numPr>
                <w:ilvl w:val="2"/>
                <w:numId w:val="3"/>
              </w:numPr>
              <w:jc w:val="start"/>
              <w:rPr>
                <w:b w:val="false"/>
                <w:bCs w:val="false"/>
              </w:rPr>
            </w:pPr>
            <w:r>
              <w:rPr>
                <w:b w:val="false"/>
                <w:bCs w:val="false"/>
              </w:rPr>
              <w:t>has the opportunity to vest in up to 83,333 shares in each of three concurrent performance periods (4Q00-3Q01, 4Q01-3Q02, 4Q02-3Q03)</w:t>
            </w:r>
          </w:p>
          <w:p>
            <w:pPr>
              <w:pStyle w:val="Heading"/>
              <w:numPr>
                <w:ilvl w:val="2"/>
                <w:numId w:val="3"/>
              </w:numPr>
              <w:jc w:val="start"/>
              <w:rPr>
                <w:b w:val="false"/>
                <w:bCs w:val="false"/>
              </w:rPr>
            </w:pPr>
            <w:r>
              <w:rPr>
                <w:b w:val="false"/>
                <w:bCs w:val="false"/>
              </w:rPr>
              <w:t xml:space="preserve">will vest in 50,000 shares if EPS growth equals average of other companies for the period and in 83,333 shares if it is greater than 1.1 times average of other companies for the period (use linear interpolation for points between these targets)  </w:t>
            </w:r>
          </w:p>
          <w:p>
            <w:pPr>
              <w:pStyle w:val="Heading"/>
              <w:numPr>
                <w:ilvl w:val="0"/>
                <w:numId w:val="3"/>
              </w:numPr>
              <w:jc w:val="start"/>
              <w:rPr>
                <w:b w:val="false"/>
                <w:bCs w:val="false"/>
              </w:rPr>
            </w:pPr>
            <w:r>
              <w:rPr>
                <w:b w:val="false"/>
                <w:bCs w:val="false"/>
              </w:rPr>
              <w:t>Additional shares which vest over time will fully vest upon qualifying termination, which, as described below, includes termination without cause, resignation for “good reason” (such as material reduction in pay or assignment of duties inconsistent with position), or involuntary termination for any reason/resignation for good reason following a change in control</w:t>
            </w:r>
          </w:p>
          <w:p>
            <w:pPr>
              <w:pStyle w:val="Heading"/>
              <w:numPr>
                <w:ilvl w:val="0"/>
                <w:numId w:val="3"/>
              </w:numPr>
              <w:jc w:val="start"/>
              <w:rPr>
                <w:b w:val="false"/>
                <w:bCs w:val="false"/>
              </w:rPr>
            </w:pPr>
            <w:r>
              <w:rPr>
                <w:b w:val="false"/>
                <w:bCs w:val="false"/>
              </w:rPr>
              <w:t>No special vesting of additional shares which vest based on performance (other than following a change in control, in which case will vest as a matter of plan terms)</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Stock Options/Long-Term Bonus Opportunities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Participates in annual plan, with grant size determined as follows:</w:t>
            </w:r>
          </w:p>
          <w:p>
            <w:pPr>
              <w:pStyle w:val="Heading"/>
              <w:jc w:val="start"/>
              <w:rPr>
                <w:b w:val="false"/>
                <w:bCs w:val="false"/>
              </w:rPr>
            </w:pPr>
            <w:r>
              <w:rPr>
                <w:b w:val="false"/>
                <w:bCs w:val="false"/>
              </w:rPr>
            </w:r>
          </w:p>
          <w:p>
            <w:pPr>
              <w:pStyle w:val="Heading"/>
              <w:numPr>
                <w:ilvl w:val="0"/>
                <w:numId w:val="1"/>
              </w:numPr>
              <w:jc w:val="start"/>
              <w:rPr>
                <w:b w:val="false"/>
                <w:bCs w:val="false"/>
              </w:rPr>
            </w:pPr>
            <w:r>
              <w:rPr>
                <w:b w:val="false"/>
                <w:bCs w:val="false"/>
              </w:rPr>
              <w:t>annually evaluate market competitive grant level through proxy and survey analysis of industry-competitive stock grant levels on a Black-Scholes basis and grant fair market value basis (number of shares times exercise price)</w:t>
            </w:r>
          </w:p>
          <w:p>
            <w:pPr>
              <w:pStyle w:val="Heading"/>
              <w:numPr>
                <w:ilvl w:val="0"/>
                <w:numId w:val="1"/>
              </w:numPr>
              <w:jc w:val="start"/>
              <w:rPr>
                <w:b w:val="false"/>
                <w:bCs w:val="false"/>
              </w:rPr>
            </w:pPr>
            <w:r>
              <w:rPr>
                <w:b w:val="false"/>
                <w:bCs w:val="false"/>
              </w:rPr>
              <w:t>convert to equivalent number of shares based on stock price at time of grant consideration</w:t>
            </w:r>
          </w:p>
          <w:p>
            <w:pPr>
              <w:pStyle w:val="Heading"/>
              <w:numPr>
                <w:ilvl w:val="0"/>
                <w:numId w:val="1"/>
              </w:numPr>
              <w:jc w:val="start"/>
              <w:rPr>
                <w:b w:val="false"/>
                <w:bCs w:val="false"/>
              </w:rPr>
            </w:pPr>
            <w:r>
              <w:rPr>
                <w:b w:val="false"/>
                <w:bCs w:val="false"/>
              </w:rPr>
              <w:t>HR Committee will be provided with a range of options based on market competitive data</w:t>
            </w:r>
          </w:p>
          <w:p>
            <w:pPr>
              <w:pStyle w:val="Heading"/>
              <w:jc w:val="start"/>
              <w:rPr>
                <w:b w:val="false"/>
                <w:bCs w:val="false"/>
              </w:rPr>
            </w:pPr>
            <w:r>
              <w:rPr>
                <w:b w:val="false"/>
                <w:bCs w:val="false"/>
              </w:rPr>
            </w:r>
          </w:p>
          <w:p>
            <w:pPr>
              <w:pStyle w:val="Heading"/>
              <w:jc w:val="start"/>
              <w:rPr>
                <w:b w:val="false"/>
                <w:bCs w:val="false"/>
              </w:rPr>
            </w:pPr>
            <w:r>
              <w:rPr>
                <w:b w:val="false"/>
                <w:bCs w:val="false"/>
              </w:rPr>
              <w:t>Options will continue to vest over any separation pay period – may exercise until earlier of (a) grant expiration or (b) one year anniversary of final separation payment (giving executive 3 years from separation to exercise, but never longer than term of original grant)</w:t>
            </w:r>
          </w:p>
          <w:p>
            <w:pPr>
              <w:pStyle w:val="Heading"/>
              <w:jc w:val="start"/>
              <w:rPr>
                <w:b w:val="false"/>
                <w:bCs w:val="false"/>
              </w:rPr>
            </w:pPr>
            <w:r>
              <w:rPr>
                <w:b w:val="false"/>
                <w:bCs w:val="false"/>
              </w:rPr>
            </w:r>
          </w:p>
          <w:p>
            <w:pPr>
              <w:pStyle w:val="Heading"/>
              <w:jc w:val="start"/>
              <w:rPr>
                <w:b w:val="false"/>
                <w:bCs w:val="false"/>
              </w:rPr>
            </w:pPr>
            <w:r>
              <w:rPr>
                <w:b w:val="false"/>
                <w:bCs w:val="false"/>
              </w:rPr>
              <w:t>Long-Term Bonus Plan currently provides for credit to “bonus bank” of up to 50% of executive’s annual bonus, with potential payout of up to 30% of cumulative balance of that “bonus bank” on an annual basis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Total target long-term incentive opportunity on annual basis (including stock options and other long-term incentives) valued in range of 7-10x base salary using Black-Scholes model – note that the initial term of this agreement is three years, with successive renewal periods of one-year</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change on special vesting provisions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Current Long-Term Bonus plan under review – anticipate implementing alternative plan</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Special Cash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Cash bonus of $850,000 upon execution of agreement (number of additional restricted stock shares reduced and cash bonus provided to address immediate tax issue)</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Annual Retention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Bonuses of $2,000,000 on each of first three anniversary dates of agreement, provided continues in employment through each such anniversary date</w:t>
            </w:r>
          </w:p>
          <w:p>
            <w:pPr>
              <w:pStyle w:val="Heading"/>
              <w:jc w:val="start"/>
              <w:rPr>
                <w:b w:val="false"/>
                <w:bCs w:val="false"/>
              </w:rPr>
            </w:pPr>
            <w:r>
              <w:rPr>
                <w:b w:val="false"/>
                <w:bCs w:val="false"/>
              </w:rPr>
            </w:r>
          </w:p>
          <w:p>
            <w:pPr>
              <w:pStyle w:val="Heading"/>
              <w:jc w:val="start"/>
              <w:rPr>
                <w:b w:val="false"/>
                <w:bCs w:val="false"/>
              </w:rPr>
            </w:pPr>
            <w:r>
              <w:rPr>
                <w:b w:val="false"/>
                <w:bCs w:val="false"/>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Restrictive Covenants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of customers and employees for severance pay period (24 months)</w:t>
            </w:r>
          </w:p>
          <w:p>
            <w:pPr>
              <w:pStyle w:val="Heading"/>
              <w:jc w:val="start"/>
              <w:rPr>
                <w:b w:val="false"/>
                <w:bCs w:val="false"/>
              </w:rPr>
            </w:pPr>
            <w:r>
              <w:rPr>
                <w:b w:val="false"/>
                <w:bCs w:val="false"/>
              </w:rPr>
            </w:r>
          </w:p>
          <w:p>
            <w:pPr>
              <w:pStyle w:val="Heading"/>
              <w:jc w:val="start"/>
              <w:rPr>
                <w:b w:val="false"/>
                <w:bCs w:val="false"/>
              </w:rPr>
            </w:pPr>
            <w:r>
              <w:rPr>
                <w:b w:val="false"/>
                <w:bCs w:val="false"/>
              </w:rPr>
              <w:t>Extensive non-disparagement provisions with substantial liquidated damages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provisions for severance pay period</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Mutual non-disparagement</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Termination</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2x base and prior year annual bonus in event of qualifying termination – 3x in event of qualifying termination following a change in control – payable 25% up front and remaining 75% over severance pay period of 24 months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severance if terminates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3x base and target annual bonus in event of qualifying termination, which includes termination without cause, resignation for “good reason” (such as material reduction in pay or assignment of duties inconsistent with position of CEO), or involuntary termination for any reason/resignation for good reason following a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t>Will also receive prorated annual bonus and immediate payout of any unpaid retention bonus in event of qualifying termination</w:t>
            </w:r>
          </w:p>
          <w:p>
            <w:pPr>
              <w:pStyle w:val="Heading"/>
              <w:jc w:val="start"/>
              <w:rPr>
                <w:b w:val="false"/>
                <w:bCs w:val="false"/>
              </w:rPr>
            </w:pPr>
            <w:r>
              <w:rPr>
                <w:b w:val="false"/>
                <w:bCs w:val="false"/>
              </w:rPr>
            </w:r>
          </w:p>
          <w:p>
            <w:pPr>
              <w:pStyle w:val="Heading"/>
              <w:jc w:val="start"/>
              <w:rPr>
                <w:b w:val="false"/>
                <w:bCs w:val="false"/>
              </w:rPr>
            </w:pPr>
            <w:r>
              <w:rPr>
                <w:b w:val="false"/>
                <w:bCs w:val="false"/>
              </w:rPr>
              <w:t>Severance payment of 1.5x base and target annual bonus and immediate payout of any unpaid retention bonus in event of termination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tc>
      </w:tr>
    </w:tbl>
    <w:p>
      <w:pPr>
        <w:pStyle w:val="Normal"/>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Times New Roman" w:hAnsi="Times New Roman" w:cs="Times New Roman"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Times New Roman" w:hAnsi="Times New Roman" w:cs="Times New Roman"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2000-10-19T15:29:00Z</dcterms:created>
  <dc:creator>Wanda Hollaway</dc:creator>
  <dc:description/>
  <dc:language>en-CA</dc:language>
  <cp:lastModifiedBy>Wanda Hollaway</cp:lastModifiedBy>
  <cp:lastPrinted>2000-09-27T09:57:00Z</cp:lastPrinted>
  <dcterms:modified xsi:type="dcterms:W3CDTF">2000-10-19T15:29:00Z</dcterms:modified>
  <cp:revision>2</cp:revision>
  <dc:subject/>
  <dc:title>CONFIDENTIAL</dc:title>
</cp:coreProperties>
</file>