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pPr>
      <w:r>
        <w:rPr/>
        <w:t xml:space="preserve">dot com announces license agreement for Internet Bingo software  </w:t>
      </w:r>
    </w:p>
    <w:p>
      <w:pPr>
        <w:pStyle w:val="Normal"/>
        <w:jc w:val="both"/>
        <w:rPr/>
      </w:pPr>
      <w:r>
        <w:rPr/>
      </w:r>
    </w:p>
    <w:p>
      <w:pPr>
        <w:pStyle w:val="Normal"/>
        <w:jc w:val="both"/>
        <w:rPr/>
      </w:pPr>
      <w:r>
        <w:rPr/>
        <w:t>May 29, 2001 - dot com Entertainment Group, Inc. (OTCBB: DCEG), through its wholly-owned subsidiary corporation, dot com (Antigua) Ltd. ("dot com or Company"), announced today that it has entered into a license agreement with Helix International Ltd. of the British Virgin Islands (“Helix”) to deliver and install a complete Internet Bingo system on or around August 15, 2001.</w:t>
      </w:r>
    </w:p>
    <w:p>
      <w:pPr>
        <w:pStyle w:val="Normal"/>
        <w:jc w:val="both"/>
        <w:rPr/>
      </w:pPr>
      <w:r>
        <w:rPr/>
      </w:r>
    </w:p>
    <w:p>
      <w:pPr>
        <w:pStyle w:val="Normal"/>
        <w:jc w:val="both"/>
        <w:rPr/>
      </w:pPr>
      <w:r>
        <w:rPr/>
        <w:t>Helix has considerable experience in the Internet Bingo sector and is considered one of the top Internet Bingo operators on the web today, making this license agreement an important addition for the Company.  In addition to its license of Internet Bingo technology, Helix has also engaged the services of Inferno Media, dot com’s in-house marketing department, to provide a complete re-brand of its current website, in anticipation of their use of dot com’s award winning Internet Bingo system.</w:t>
      </w:r>
    </w:p>
    <w:p>
      <w:pPr>
        <w:pStyle w:val="Normal"/>
        <w:jc w:val="both"/>
        <w:rPr/>
      </w:pPr>
      <w:r>
        <w:rPr/>
      </w:r>
    </w:p>
    <w:p>
      <w:pPr>
        <w:pStyle w:val="Normal"/>
        <w:jc w:val="both"/>
        <w:rPr/>
      </w:pPr>
      <w:r>
        <w:rPr/>
        <w:t>“</w:t>
      </w:r>
      <w:r>
        <w:rPr/>
        <w:t>This license agreement with Helix is consistent with our business model, which is to attract quality licensee’s who are currently in the Internet gaming space and have proven cash-flow, ” said Scott F. White, dot com’s President &amp; CEO.   “As Helix will be converting from its existing software product to our technology, it represents another milestone for us and further increases our market share of the Internet Bingo space.  In addition to our implementation fees, we anticipate realizing immediate revenue streams in Q3 2001, based on their existing database, which exceeds 40,000 Internet Bingo players.</w:t>
      </w:r>
    </w:p>
    <w:p>
      <w:pPr>
        <w:pStyle w:val="BodyText3"/>
        <w:rPr/>
      </w:pPr>
      <w:r>
        <w:rPr/>
      </w:r>
    </w:p>
    <w:p>
      <w:pPr>
        <w:pStyle w:val="Normal"/>
        <w:jc w:val="both"/>
        <w:rPr/>
      </w:pPr>
      <w:r>
        <w:rPr/>
        <w:t>This announcement represents the successful completion of dot com’s 14</w:t>
      </w:r>
      <w:r>
        <w:rPr>
          <w:vertAlign w:val="superscript"/>
        </w:rPr>
        <w:t xml:space="preserve">th </w:t>
      </w:r>
      <w:r>
        <w:rPr/>
        <w:t>license agreement, with 12 of those agreements being completed since Q3 2000.    dot com will be announcing additional agreements in the months to come, for both its Internet Bingo and Casino technologies.</w:t>
      </w:r>
    </w:p>
    <w:p>
      <w:pPr>
        <w:pStyle w:val="Normal"/>
        <w:jc w:val="both"/>
        <w:rPr/>
      </w:pPr>
      <w:r>
        <w:rPr/>
      </w:r>
    </w:p>
    <w:p>
      <w:pPr>
        <w:pStyle w:val="Normal"/>
        <w:jc w:val="both"/>
        <w:rPr/>
      </w:pPr>
      <w:r>
        <w:rPr/>
        <w:t>dot com is a leading supplier of Internet Bingo technology, being one of the first companies in the world to develop and license multi-play, pay-for-play Bingo technology.  dot com files annual and quarterly reports with the SEC and is focused on the development, delivery and support of Internet entertainment software systems, such as on-line Bingo, on-line Casino and other related products and services.</w:t>
      </w:r>
    </w:p>
    <w:p>
      <w:pPr>
        <w:pStyle w:val="Normal"/>
        <w:jc w:val="both"/>
        <w:rPr/>
      </w:pPr>
      <w:r>
        <w:rPr/>
      </w:r>
    </w:p>
    <w:p>
      <w:pPr>
        <w:pStyle w:val="Normal"/>
        <w:jc w:val="both"/>
        <w:rPr/>
      </w:pPr>
      <w:r>
        <w:rPr/>
        <w:t xml:space="preserve">The dot com web site can be visited at </w:t>
      </w:r>
      <w:hyperlink r:id="rId2">
        <w:r>
          <w:rPr>
            <w:rStyle w:val="Hyperlink"/>
          </w:rPr>
          <w:t>www.dceg.com</w:t>
        </w:r>
      </w:hyperlink>
      <w:r>
        <w:rPr/>
        <w:t>.</w:t>
      </w:r>
    </w:p>
    <w:p>
      <w:pPr>
        <w:pStyle w:val="Normal"/>
        <w:jc w:val="both"/>
        <w:rPr/>
      </w:pPr>
      <w:r>
        <w:rPr/>
      </w:r>
    </w:p>
    <w:p>
      <w:pPr>
        <w:pStyle w:val="Normal"/>
        <w:jc w:val="both"/>
        <w:rPr>
          <w:b/>
          <w:bCs/>
        </w:rPr>
      </w:pPr>
      <w:r>
        <w:rPr>
          <w:b/>
          <w:bCs/>
        </w:rPr>
        <w:t>FOR FURTHER INFORMATION PLEASE CONTACT:</w:t>
      </w:r>
    </w:p>
    <w:p>
      <w:pPr>
        <w:pStyle w:val="Normal"/>
        <w:jc w:val="both"/>
        <w:rPr>
          <w:b/>
          <w:bCs/>
        </w:rPr>
      </w:pPr>
      <w:r>
        <w:rPr>
          <w:b/>
          <w:bCs/>
        </w:rPr>
      </w:r>
    </w:p>
    <w:p>
      <w:pPr>
        <w:pStyle w:val="BodyText"/>
        <w:rPr>
          <w:rFonts w:ascii="Times New Roman" w:hAnsi="Times New Roman" w:cs="Times New Roman"/>
          <w:b/>
          <w:bCs/>
          <w:sz w:val="20"/>
        </w:rPr>
      </w:pPr>
      <w:r>
        <w:rPr>
          <w:rFonts w:cs="Times New Roman" w:ascii="Times New Roman" w:hAnsi="Times New Roman"/>
          <w:b/>
          <w:bCs/>
          <w:sz w:val="20"/>
        </w:rPr>
        <w:t>Contact:</w:t>
        <w:tab/>
        <w:t>Scott White, President and CEO</w:t>
      </w:r>
    </w:p>
    <w:p>
      <w:pPr>
        <w:pStyle w:val="Normal"/>
        <w:jc w:val="both"/>
        <w:rPr>
          <w:b/>
          <w:bCs/>
        </w:rPr>
      </w:pPr>
      <w:r>
        <w:rPr>
          <w:b/>
          <w:bCs/>
        </w:rPr>
        <w:tab/>
        <w:tab/>
      </w:r>
      <w:hyperlink r:id="rId3">
        <w:r>
          <w:rPr>
            <w:rStyle w:val="Hyperlink"/>
            <w:b/>
            <w:bCs/>
          </w:rPr>
          <w:t>swhite@dceg.com</w:t>
        </w:r>
      </w:hyperlink>
    </w:p>
    <w:p>
      <w:pPr>
        <w:pStyle w:val="Normal"/>
        <w:jc w:val="both"/>
        <w:rPr>
          <w:b/>
          <w:bCs/>
        </w:rPr>
      </w:pPr>
      <w:r>
        <w:rPr>
          <w:b/>
          <w:bCs/>
        </w:rPr>
      </w:r>
    </w:p>
    <w:p>
      <w:pPr>
        <w:pStyle w:val="Normal"/>
        <w:jc w:val="both"/>
        <w:rPr>
          <w:b/>
          <w:bCs/>
        </w:rPr>
      </w:pPr>
      <w:r>
        <w:rPr>
          <w:b/>
          <w:bCs/>
        </w:rPr>
        <w:t>-or-</w:t>
      </w:r>
    </w:p>
    <w:p>
      <w:pPr>
        <w:pStyle w:val="Normal"/>
        <w:jc w:val="both"/>
        <w:rPr>
          <w:b/>
          <w:bCs/>
        </w:rPr>
      </w:pPr>
      <w:r>
        <w:rPr>
          <w:b/>
          <w:bCs/>
        </w:rPr>
        <w:tab/>
        <w:tab/>
        <w:t>Frank Ricciuti, Corporate Communications</w:t>
      </w:r>
    </w:p>
    <w:p>
      <w:pPr>
        <w:pStyle w:val="Normal"/>
        <w:jc w:val="both"/>
        <w:rPr/>
      </w:pPr>
      <w:r>
        <w:rPr>
          <w:b/>
          <w:bCs/>
        </w:rPr>
        <w:tab/>
        <w:tab/>
      </w:r>
      <w:hyperlink r:id="rId4">
        <w:r>
          <w:rPr>
            <w:rStyle w:val="Hyperlink"/>
            <w:b/>
            <w:bCs/>
          </w:rPr>
          <w:t>fricciuti@dceg.com</w:t>
        </w:r>
      </w:hyperlink>
    </w:p>
    <w:p>
      <w:pPr>
        <w:pStyle w:val="Normal"/>
        <w:jc w:val="both"/>
        <w:rPr>
          <w:b/>
          <w:bCs/>
        </w:rPr>
      </w:pPr>
      <w:r>
        <w:rPr>
          <w:b/>
          <w:bCs/>
        </w:rPr>
        <w:tab/>
        <w:tab/>
        <w:t>Toll free: (888) 250-3312</w:t>
      </w:r>
    </w:p>
    <w:p>
      <w:pPr>
        <w:pStyle w:val="Normal"/>
        <w:jc w:val="both"/>
        <w:rPr>
          <w:b/>
          <w:bCs/>
        </w:rPr>
      </w:pPr>
      <w:r>
        <w:rPr>
          <w:b/>
          <w:bCs/>
        </w:rPr>
        <w:tab/>
        <w:tab/>
        <w:t>Local:</w:t>
        <w:tab/>
        <w:t xml:space="preserve">  (905) 337-8524</w:t>
      </w:r>
    </w:p>
    <w:p>
      <w:pPr>
        <w:pStyle w:val="BodyText3"/>
        <w:rPr>
          <w:b/>
          <w:bCs/>
          <w:sz w:val="20"/>
        </w:rPr>
      </w:pPr>
      <w:r>
        <w:rPr>
          <w:b/>
          <w:bCs/>
          <w:sz w:val="20"/>
        </w:rPr>
      </w:r>
    </w:p>
    <w:p>
      <w:pPr>
        <w:pStyle w:val="BodyText3"/>
        <w:rPr>
          <w:sz w:val="20"/>
        </w:rPr>
      </w:pPr>
      <w:r>
        <w:rPr>
          <w:sz w:val="20"/>
        </w:rPr>
        <w:t>Certain statements in this news release, including, but not limited to, statements containing the words “anticipates”, “believes”, “expects”, ‘intends”, “will”, “may” and similar words constitute forward-looking statements within the meaning of the Private Securities Litigation Reform Act of 1995.  Such forward-looking statements are based on the Company’s current expectations and involve known and unknown risks, uncertainties and other factors that may cause actual results or performance to differ materially from any future results or performance expressed or implied by such forward-looking statements.  These risks, uncertainties and other factors include the uncertainty relating to the lawfulness of Internet gaming, dot com’s ability to profitably expand its products and services to new markets and customers and continued industry acceptance of, and the risk of technological obsolescence related to, dot com’s game systems, among others.</w:t>
      </w:r>
    </w:p>
    <w:p>
      <w:pPr>
        <w:pStyle w:val="Normal"/>
        <w:rPr>
          <w:sz w:val="20"/>
        </w:rPr>
      </w:pPr>
      <w:r>
        <w:rPr>
          <w:sz w:val="20"/>
        </w:rPr>
      </w:r>
    </w:p>
    <w:sectPr>
      <w:type w:val="nextPage"/>
      <w:pgSz w:w="12240" w:h="15840"/>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8"/>
      <w:szCs w:val="20"/>
    </w:rPr>
  </w:style>
  <w:style w:type="paragraph" w:styleId="BodyText3">
    <w:name w:val="Body Text 3"/>
    <w:basedOn w:val="Normal"/>
    <w:qFormat/>
    <w:pPr>
      <w:jc w:val="both"/>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dceg.com/" TargetMode="External"/><Relationship Id="rId3" Type="http://schemas.openxmlformats.org/officeDocument/2006/relationships/hyperlink" Target="mailto:swhite@dceg.com" TargetMode="External"/><Relationship Id="rId4" Type="http://schemas.openxmlformats.org/officeDocument/2006/relationships/hyperlink" Target="mailto:fricciuti@dceg.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2001-05-30T10:42:00Z</dcterms:created>
  <dc:creator>Precyse Corporation</dc:creator>
  <dc:description/>
  <dc:language>en-CA</dc:language>
  <cp:lastModifiedBy>Precyse Corporation</cp:lastModifiedBy>
  <dcterms:modified xsi:type="dcterms:W3CDTF">2001-05-30T10:43:00Z</dcterms:modified>
  <cp:revision>1</cp:revision>
  <dc:subject/>
  <dc:title>dot com announces license agreement for Internet Bingo software  </dc:title>
</cp:coreProperties>
</file>