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Management / 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Management / 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RAYMOND, MAUREEN J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VILLARREAL, NORMA E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RESEARCH GROUP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 RESEARCH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1998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1998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 / 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 / 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 / 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 / 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drawing>
          <wp:inline distT="0" distB="0" distL="0" distR="0">
            <wp:extent cx="1096645" cy="43180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1458595</wp:posOffset>
                </wp:positionH>
                <wp:positionV relativeFrom="paragraph">
                  <wp:posOffset>-5715</wp:posOffset>
                </wp:positionV>
                <wp:extent cx="3940810" cy="65024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6502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2"/>
                              </w:rPr>
                              <w:t>Management / 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10.3pt;height:51.2pt;mso-wrap-distance-left:9.05pt;mso-wrap-distance-right:9.05pt;mso-wrap-distance-top:0pt;mso-wrap-distance-bottom:0pt;margin-top:-0.45pt;mso-position-vertical-relative:text;margin-left:114.8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32"/>
                        </w:rPr>
                        <w:t>Management / 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/>
            </w:pPr>
            <w:r>
              <w:rPr>
                <w:sz w:val="18"/>
              </w:rPr>
              <w:t>INNOVATION / ENTREPRENEURSHIP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Considers counter intuitive alternatives put forth by senior management and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recognize and lead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SETTING DIRECTION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Consistently provides clear direction and strategy</w:t>
            </w:r>
          </w:p>
          <w:p>
            <w:pPr>
              <w:pStyle w:val="Heading1"/>
              <w:numPr>
                <w:ilvl w:val="0"/>
                <w:numId w:val="2"/>
              </w:numPr>
              <w:rPr>
                <w:b w:val="false"/>
              </w:rPr>
            </w:pPr>
            <w:r>
              <w:rPr>
                <w:b w:val="false"/>
              </w:rPr>
              <w:t>Turns goals and strategy into actions and results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Recognizes and actively participates in a shared purpose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Creates a climate for success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skills and resources needed to form networks throughout Enron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Provides specific and frequent feedback to improve individual and team performance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 xml:space="preserve">Supports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Serves as a role model for others in achieving business objectives above individual, professional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Supports team even during a loss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 xml:space="preserve">Inspires excellence in others, by example and integrity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Leads tactical change in support of strategic direction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Utilizes and supports on-going development of the talents and skills of self and employees/leverages diversity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articulate vision and values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INSTINCTS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Combines knowledge of Enron capabilities and the external market to support new business opportunities and customers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Enron resources to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 xml:space="preserve">Quickly and effectively integrates technical information outside area of expertise </w:t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4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2000-11-22T15:28:00Z</dcterms:created>
  <dc:creator>Performance Management</dc:creator>
  <dc:description/>
  <dc:language>en-CA</dc:language>
  <cp:lastModifiedBy>Roy Jacob</cp:lastModifiedBy>
  <cp:lastPrinted>2000-10-31T11:18:00Z</cp:lastPrinted>
  <dcterms:modified xsi:type="dcterms:W3CDTF">2000-11-22T15:28:00Z</dcterms:modified>
  <cp:revision>2</cp:revision>
  <dc:subject/>
  <dc:title> </dc:title>
</cp:coreProperties>
</file>