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Docket No.:  CP01-115-000</w:t>
        <w:tab/>
        <w:tab/>
        <w:tab/>
        <w:tab/>
        <w:tab/>
        <w:tab/>
      </w:r>
    </w:p>
    <w:p>
      <w:pPr>
        <w:pStyle w:val="Normal"/>
        <w:rPr>
          <w:b/>
          <w:sz w:val="28"/>
        </w:rPr>
      </w:pPr>
      <w:r>
        <w:rPr>
          <w:b/>
          <w:sz w:val="28"/>
        </w:rPr>
        <w:t>Project Name:  Red Rock Expansion</w:t>
        <w:tab/>
        <w:tab/>
        <w:tab/>
        <w:tab/>
        <w:tab/>
        <w:tab/>
        <w:tab/>
        <w:tab/>
      </w:r>
    </w:p>
    <w:p>
      <w:pPr>
        <w:pStyle w:val="Normal"/>
        <w:rPr>
          <w:b/>
          <w:sz w:val="22"/>
        </w:rPr>
      </w:pPr>
      <w:r>
        <w:rPr>
          <w:b/>
          <w:sz w:val="22"/>
        </w:rPr>
      </w:r>
    </w:p>
    <w:tbl>
      <w:tblPr>
        <w:tblW w:w="14598" w:type="dxa"/>
        <w:jc w:val="start"/>
        <w:tblInd w:w="0" w:type="dxa"/>
        <w:tblLayout w:type="fixed"/>
        <w:tblCellMar>
          <w:top w:w="0" w:type="dxa"/>
          <w:start w:w="108" w:type="dxa"/>
          <w:bottom w:w="0" w:type="dxa"/>
          <w:end w:w="108" w:type="dxa"/>
        </w:tblCellMar>
      </w:tblPr>
      <w:tblGrid>
        <w:gridCol w:w="10098"/>
        <w:gridCol w:w="1710"/>
        <w:gridCol w:w="1343"/>
        <w:gridCol w:w="1447"/>
      </w:tblGrid>
      <w:tr>
        <w:trPr/>
        <w:tc>
          <w:tcPr>
            <w:tcW w:w="10098" w:type="dxa"/>
            <w:tcBorders>
              <w:top w:val="single" w:sz="6" w:space="0" w:color="000000"/>
              <w:start w:val="single" w:sz="6" w:space="0" w:color="000000"/>
              <w:bottom w:val="single" w:sz="6" w:space="0" w:color="000000"/>
              <w:end w:val="single" w:sz="6" w:space="0" w:color="000000"/>
            </w:tcBorders>
            <w:shd w:fill="E5E5E5" w:val="clear"/>
          </w:tcPr>
          <w:p>
            <w:pPr>
              <w:pStyle w:val="Normal"/>
              <w:rPr>
                <w:b/>
                <w:sz w:val="22"/>
              </w:rPr>
            </w:pPr>
            <w:r>
              <w:rPr>
                <w:b/>
                <w:sz w:val="22"/>
              </w:rPr>
              <w:t>Environmental Conditions</w:t>
            </w:r>
          </w:p>
          <w:p>
            <w:pPr>
              <w:pStyle w:val="Normal"/>
              <w:rPr>
                <w:b/>
                <w:sz w:val="22"/>
              </w:rPr>
            </w:pPr>
            <w:r>
              <w:rPr>
                <w:b/>
                <w:sz w:val="22"/>
              </w:rPr>
              <w:t>Order Issuing Certificate dated July 16, 2001</w:t>
            </w:r>
          </w:p>
          <w:p>
            <w:pPr>
              <w:pStyle w:val="Normal"/>
              <w:rPr>
                <w:b/>
                <w:sz w:val="22"/>
              </w:rPr>
            </w:pPr>
            <w:r>
              <w:rPr>
                <w:b/>
                <w:sz w:val="22"/>
              </w:rPr>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Transwestern  Response</w:t>
            </w:r>
          </w:p>
          <w:p>
            <w:pPr>
              <w:pStyle w:val="Normal"/>
              <w:jc w:val="center"/>
              <w:rPr>
                <w:b/>
                <w:sz w:val="22"/>
                <w:u w:val="single"/>
              </w:rPr>
            </w:pPr>
            <w:r>
              <w:rPr>
                <w:rFonts w:eastAsia="Arial"/>
                <w:b/>
                <w:sz w:val="22"/>
              </w:rPr>
              <w:t xml:space="preserve"> </w:t>
            </w:r>
            <w:r>
              <w:rPr>
                <w:b/>
                <w:sz w:val="22"/>
              </w:rPr>
              <w:t>Required</w:t>
            </w:r>
            <w:r>
              <w:rPr>
                <w:b/>
                <w:sz w:val="22"/>
                <w:u w:val="single"/>
              </w:rPr>
              <w:t xml:space="preserve"> </w:t>
            </w:r>
            <w:r>
              <w:rPr>
                <w:b/>
                <w:sz w:val="22"/>
              </w:rPr>
              <w:t>(Yes/No)</w:t>
            </w:r>
          </w:p>
        </w:tc>
        <w:tc>
          <w:tcPr>
            <w:tcW w:w="1343"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pPr>
            <w:r>
              <w:rPr>
                <w:b/>
                <w:sz w:val="22"/>
              </w:rPr>
              <w:t>Director Letter  Required (Yes/No)</w:t>
            </w:r>
            <w:r>
              <w:rPr>
                <w:b/>
                <w:sz w:val="22"/>
                <w:u w:val="single"/>
              </w:rPr>
              <w:t xml:space="preserve"> </w:t>
            </w:r>
          </w:p>
        </w:tc>
        <w:tc>
          <w:tcPr>
            <w:tcW w:w="1447"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Date Director Letter/TW Response</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left" w:pos="720" w:leader="none"/>
              </w:tabs>
              <w:ind w:hanging="660" w:start="720" w:end="0"/>
              <w:rPr>
                <w:sz w:val="22"/>
              </w:rPr>
            </w:pPr>
            <w:r>
              <w:rPr>
                <w:sz w:val="22"/>
              </w:rPr>
              <w:t>Transwestern shall follow the construction procedures and mitigation measures described in its application and supplements and as identified in the environmental assessment, unless modified by this Order.  Transwestern must:</w:t>
            </w:r>
          </w:p>
          <w:p>
            <w:pPr>
              <w:pStyle w:val="Normal"/>
              <w:numPr>
                <w:ilvl w:val="0"/>
                <w:numId w:val="3"/>
              </w:numPr>
              <w:tabs>
                <w:tab w:val="left" w:pos="720" w:leader="none"/>
              </w:tabs>
              <w:ind w:hanging="660" w:start="720" w:end="0"/>
              <w:rPr>
                <w:sz w:val="22"/>
              </w:rPr>
            </w:pPr>
            <w:r>
              <w:rPr>
                <w:sz w:val="22"/>
              </w:rPr>
              <w:t>request any modification to these procedures, measures, or conditions in a filing with the Secretary of the Commission (Secretary);</w:t>
            </w:r>
          </w:p>
          <w:p>
            <w:pPr>
              <w:pStyle w:val="Normal"/>
              <w:numPr>
                <w:ilvl w:val="0"/>
                <w:numId w:val="3"/>
              </w:numPr>
              <w:tabs>
                <w:tab w:val="left" w:pos="720" w:leader="none"/>
              </w:tabs>
              <w:rPr>
                <w:sz w:val="22"/>
              </w:rPr>
            </w:pPr>
            <w:r>
              <w:rPr>
                <w:sz w:val="22"/>
              </w:rPr>
              <w:t>justify each modification relative to site-specific conditions;</w:t>
            </w:r>
          </w:p>
          <w:p>
            <w:pPr>
              <w:pStyle w:val="Normal"/>
              <w:numPr>
                <w:ilvl w:val="0"/>
                <w:numId w:val="3"/>
              </w:numPr>
              <w:tabs>
                <w:tab w:val="left" w:pos="720" w:leader="none"/>
              </w:tabs>
              <w:ind w:hanging="660" w:start="720" w:end="0"/>
              <w:rPr>
                <w:sz w:val="22"/>
              </w:rPr>
            </w:pPr>
            <w:r>
              <w:rPr>
                <w:sz w:val="22"/>
              </w:rPr>
              <w:t>explain how that modification provides an equal or greater level of environmental protection than the original measure; and</w:t>
            </w:r>
          </w:p>
          <w:p>
            <w:pPr>
              <w:pStyle w:val="Normal"/>
              <w:numPr>
                <w:ilvl w:val="0"/>
                <w:numId w:val="3"/>
              </w:numPr>
              <w:tabs>
                <w:tab w:val="left" w:pos="720" w:leader="none"/>
              </w:tabs>
              <w:ind w:hanging="660" w:start="720" w:end="0"/>
              <w:rPr>
                <w:sz w:val="22"/>
              </w:rPr>
            </w:pPr>
            <w:r>
              <w:rPr>
                <w:sz w:val="22"/>
              </w:rPr>
              <w:t xml:space="preserve">receive approval in writing from the Director of the Office of Energy Projects (OEP) </w:t>
            </w:r>
            <w:r>
              <w:rPr>
                <w:b/>
                <w:sz w:val="22"/>
              </w:rPr>
              <w:t>before using that  modification.</w:t>
            </w:r>
          </w:p>
          <w:p>
            <w:pPr>
              <w:pStyle w:val="Normal"/>
              <w:ind w:start="60" w:end="0"/>
              <w:rPr>
                <w:color w:val="0000FF"/>
                <w:sz w:val="22"/>
              </w:rPr>
            </w:pPr>
            <w:r>
              <w:rPr>
                <w:color w:val="0000FF"/>
                <w:sz w:val="22"/>
              </w:rPr>
              <w:t>(Responsibility: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p>
            <w:pPr>
              <w:pStyle w:val="Normal"/>
              <w:rPr>
                <w:color w:val="FF0000"/>
                <w:sz w:val="22"/>
              </w:rPr>
            </w:pPr>
            <w:r>
              <w:rPr>
                <w:color w:val="FF0000"/>
                <w:sz w:val="22"/>
              </w:rPr>
            </w:r>
          </w:p>
          <w:p>
            <w:pPr>
              <w:pStyle w:val="Normal"/>
              <w:rPr>
                <w:bCs/>
                <w:color w:val="3366FF"/>
                <w:sz w:val="22"/>
              </w:rPr>
            </w:pPr>
            <w:r>
              <w:rPr>
                <w:bCs/>
                <w:color w:val="3366FF"/>
                <w:sz w:val="22"/>
              </w:rPr>
              <w:t>8/2/2001 filed for approval to use additional 5 acres at each station.</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where applicable</w:t>
            </w:r>
          </w:p>
          <w:p>
            <w:pPr>
              <w:pStyle w:val="Normal"/>
              <w:rPr>
                <w:color w:val="FF0000"/>
                <w:sz w:val="22"/>
              </w:rPr>
            </w:pPr>
            <w:r>
              <w:rPr>
                <w:color w:val="FF0000"/>
                <w:sz w:val="22"/>
              </w:rPr>
            </w:r>
          </w:p>
          <w:p>
            <w:pPr>
              <w:pStyle w:val="Heading5"/>
              <w:ind w:hanging="0" w:start="0"/>
              <w:rPr>
                <w:b w:val="false"/>
                <w:bCs/>
              </w:rPr>
            </w:pPr>
            <w:r>
              <w:rPr>
                <w:b w:val="false"/>
                <w:bCs/>
              </w:rPr>
              <w:t>YES</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b w:val="false"/>
                <w:bCs/>
                <w:sz w:val="22"/>
              </w:rPr>
            </w:pPr>
            <w:r>
              <w:rPr>
                <w:b w:val="false"/>
                <w:bCs/>
                <w:sz w:val="22"/>
              </w:rPr>
            </w:r>
          </w:p>
          <w:p>
            <w:pPr>
              <w:pStyle w:val="Normal"/>
              <w:rPr>
                <w:sz w:val="22"/>
              </w:rPr>
            </w:pPr>
            <w:r>
              <w:rPr>
                <w:sz w:val="22"/>
              </w:rPr>
            </w:r>
          </w:p>
          <w:p>
            <w:pPr>
              <w:pStyle w:val="Normal"/>
              <w:rPr>
                <w:sz w:val="22"/>
              </w:rPr>
            </w:pPr>
            <w:r>
              <w:rPr>
                <w:sz w:val="22"/>
              </w:rPr>
            </w:r>
          </w:p>
          <w:p>
            <w:pPr>
              <w:pStyle w:val="Normal"/>
              <w:rPr>
                <w:bCs/>
                <w:color w:val="3366FF"/>
                <w:sz w:val="22"/>
              </w:rPr>
            </w:pPr>
            <w:r>
              <w:rPr>
                <w:bCs/>
                <w:color w:val="3366FF"/>
                <w:sz w:val="22"/>
              </w:rPr>
              <w:t>Director’s Letter approving additional 5 acres at each fenced-in station yard issued 8/8/2001.</w:t>
            </w:r>
          </w:p>
          <w:p>
            <w:pPr>
              <w:pStyle w:val="Normal"/>
              <w:rPr>
                <w:b/>
                <w:bCs/>
                <w:color w:val="3366FF"/>
                <w:sz w:val="22"/>
              </w:rPr>
            </w:pPr>
            <w:r>
              <w:rPr>
                <w:b/>
                <w:bCs/>
                <w:color w:val="3366FF"/>
                <w:sz w:val="22"/>
              </w:rPr>
            </w:r>
          </w:p>
          <w:p>
            <w:pPr>
              <w:pStyle w:val="Normal"/>
              <w:rPr>
                <w:b/>
                <w:color w:val="339966"/>
                <w:sz w:val="22"/>
              </w:rPr>
            </w:pPr>
            <w:r>
              <w:rPr>
                <w:b/>
                <w:color w:val="339966"/>
                <w:sz w:val="22"/>
              </w:rPr>
              <w:t>NOTE: Site AZG:15:50 must be fenced in &amp; avoided.</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left" w:pos="720" w:leader="none"/>
              </w:tabs>
              <w:ind w:hanging="660" w:start="720" w:end="0"/>
              <w:rPr>
                <w:sz w:val="22"/>
              </w:rPr>
            </w:pPr>
            <w:r>
              <w:rPr>
                <w:sz w:val="22"/>
              </w:rPr>
              <w:t>The director of OEP has delegated authority to take whatever steps are necessary to ensure the protection of all environmental resources during construction and operation of the project.  This authority shall allow:</w:t>
            </w:r>
          </w:p>
          <w:p>
            <w:pPr>
              <w:pStyle w:val="Normal"/>
              <w:numPr>
                <w:ilvl w:val="0"/>
                <w:numId w:val="2"/>
              </w:numPr>
              <w:tabs>
                <w:tab w:val="left" w:pos="720" w:leader="none"/>
              </w:tabs>
              <w:rPr>
                <w:sz w:val="22"/>
              </w:rPr>
            </w:pPr>
            <w:r>
              <w:rPr>
                <w:sz w:val="22"/>
              </w:rPr>
              <w:t>the modification of conditions of this Order; and</w:t>
            </w:r>
          </w:p>
          <w:p>
            <w:pPr>
              <w:pStyle w:val="Normal"/>
              <w:numPr>
                <w:ilvl w:val="0"/>
                <w:numId w:val="2"/>
              </w:numPr>
              <w:tabs>
                <w:tab w:val="left" w:pos="720" w:leader="none"/>
              </w:tabs>
              <w:ind w:hanging="660" w:start="720" w:end="0"/>
              <w:rPr>
                <w:sz w:val="22"/>
              </w:rPr>
            </w:pPr>
            <w:r>
              <w:rPr>
                <w:sz w:val="22"/>
              </w:rPr>
              <w:t>the design and implementation of any additional measures deemed necessary (including stop work authority) to assure continued compliance with the intent of the environmental conditions as well as the avoidance or mitigation of adverse environmental impact resulting from project construction and operation.</w:t>
            </w:r>
          </w:p>
          <w:p>
            <w:pPr>
              <w:pStyle w:val="Normal"/>
              <w:ind w:start="60" w:end="0"/>
              <w:rPr>
                <w:color w:val="0000FF"/>
                <w:sz w:val="22"/>
              </w:rPr>
            </w:pPr>
            <w:r>
              <w:rPr>
                <w:color w:val="0000FF"/>
                <w:sz w:val="22"/>
              </w:rPr>
              <w:t>(Responsibility:  Earl Chanley, Larry Campbell)</w:t>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keepNext w:val="true"/>
              <w:keepLines/>
              <w:numPr>
                <w:ilvl w:val="0"/>
                <w:numId w:val="4"/>
              </w:numPr>
              <w:rPr>
                <w:sz w:val="22"/>
              </w:rPr>
            </w:pPr>
            <w:r>
              <w:rPr>
                <w:b/>
                <w:bCs/>
                <w:sz w:val="22"/>
              </w:rPr>
              <w:t>Prior to any construction,</w:t>
            </w:r>
            <w:r>
              <w:rPr>
                <w:sz w:val="22"/>
              </w:rPr>
              <w:t xml:space="preserve"> Transwestern shall file an affirmative statement with the Secretary, certified by a senior company official, that all company personnel, environmental inspectors, and contractor personnel will be informed of the environmental inspector’s authority and have been or will be trained on the implementation of the environmental mitigation measures appropriate to their jobs before becoming involved with construction and restoration activities.</w:t>
            </w:r>
          </w:p>
          <w:p>
            <w:pPr>
              <w:pStyle w:val="Normal"/>
              <w:keepNext w:val="true"/>
              <w:keepLines/>
              <w:ind w:start="60" w:end="0"/>
              <w:rPr>
                <w:color w:val="0000FF"/>
                <w:sz w:val="22"/>
              </w:rPr>
            </w:pPr>
            <w:r>
              <w:rPr>
                <w:rFonts w:eastAsia="Arial"/>
                <w:color w:val="0000FF"/>
                <w:sz w:val="22"/>
              </w:rPr>
              <w:t xml:space="preserve"> </w:t>
            </w:r>
            <w:r>
              <w:rPr>
                <w:color w:val="0000FF"/>
                <w:sz w:val="22"/>
              </w:rPr>
              <w:t>(Responsibility:  Larry Campbell,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rPr>
            </w:pPr>
            <w:r>
              <w:rPr>
                <w:color w:val="FF0000"/>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color w:val="0000FF"/>
                <w:sz w:val="22"/>
              </w:rPr>
            </w:pPr>
            <w:r>
              <w:rPr>
                <w:color w:val="0000FF"/>
                <w:sz w:val="22"/>
              </w:rPr>
              <w:t>FILED 7/27/2001</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4"/>
              </w:numPr>
              <w:rPr>
                <w:b/>
                <w:bCs/>
                <w:sz w:val="22"/>
                <w:lang w:val="en-CA" w:eastAsia="en-CA"/>
              </w:rPr>
            </w:pPr>
            <w:r>
              <w:rPr>
                <w:sz w:val="22"/>
                <w:lang w:val="en-CA" w:eastAsia="en-CA"/>
              </w:rPr>
              <w:t xml:space="preserve">Transwestern shall conduct a noise survey at Stations 3 and 4 to verify that the noise from a modified compressor station operated at full load does not exceed an Ldn of 55 dBA at the nearest noise sensitive areas (NSAs) and file the results of the noise survey with the Secretary </w:t>
            </w:r>
            <w:r>
              <w:rPr>
                <w:b/>
                <w:bCs/>
                <w:sz w:val="22"/>
                <w:lang w:val="en-CA" w:eastAsia="en-CA"/>
              </w:rPr>
              <w:t xml:space="preserve">no later than 60 days after placing a modified compressor station in service.  </w:t>
            </w:r>
            <w:r>
              <w:rPr>
                <w:sz w:val="22"/>
                <w:lang w:val="en-CA" w:eastAsia="en-CA"/>
              </w:rPr>
              <w:t xml:space="preserve">If the noise attributable to the operatin of a modified compressor station at full load exceeds an Ldn of 55 dBA at any nearby NSAs, Transwestern shall install additional noise controls to meet that level </w:t>
            </w:r>
            <w:r>
              <w:rPr>
                <w:b/>
                <w:bCs/>
                <w:sz w:val="22"/>
                <w:lang w:val="en-CA" w:eastAsia="en-CA"/>
              </w:rPr>
              <w:t>within 1 year of the in-service date</w:t>
            </w:r>
            <w:r>
              <w:rPr>
                <w:sz w:val="22"/>
                <w:lang w:val="en-CA" w:eastAsia="en-CA"/>
              </w:rPr>
              <w:t xml:space="preserve">.  Transwestern shall confirm compliance with the Ldn of 55 dBA requirement by filing a second noise survey with the Secretary </w:t>
            </w:r>
            <w:r>
              <w:rPr>
                <w:b/>
                <w:bCs/>
                <w:sz w:val="22"/>
                <w:lang w:val="en-CA" w:eastAsia="en-CA"/>
              </w:rPr>
              <w:t>no later than 60 days after it installs the additional noise controls.</w:t>
            </w:r>
          </w:p>
          <w:p>
            <w:pPr>
              <w:pStyle w:val="Normal"/>
              <w:ind w:start="60" w:end="0"/>
              <w:rPr>
                <w:color w:val="0000FF"/>
                <w:sz w:val="22"/>
                <w:lang w:val="en-CA" w:eastAsia="en-CA"/>
              </w:rPr>
            </w:pPr>
            <w:r>
              <w:rPr>
                <w:color w:val="0000FF"/>
                <w:sz w:val="22"/>
                <w:lang w:val="en-CA" w:eastAsia="en-CA"/>
              </w:rPr>
              <w:t>(Responsibility:  Larry Campbell, Earl Chanley)</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Heading3"/>
              <w:rPr/>
            </w:pPr>
            <w:r>
              <w:rPr/>
              <w:t>ORDERING PARAGRAPHS</w:t>
            </w:r>
            <w:r>
              <mc:AlternateContent>
                <mc:Choice Requires="wps">
                  <w:drawing>
                    <wp:anchor behindDoc="0" distT="0" distB="0" distL="114935" distR="114935" simplePos="0" locked="0" layoutInCell="1" allowOverlap="1" relativeHeight="2">
                      <wp:simplePos x="0" y="0"/>
                      <wp:positionH relativeFrom="column">
                        <wp:posOffset>1692910</wp:posOffset>
                      </wp:positionH>
                      <wp:positionV relativeFrom="paragraph">
                        <wp:posOffset>-9525</wp:posOffset>
                      </wp:positionV>
                      <wp:extent cx="216535" cy="125095"/>
                      <wp:effectExtent l="0" t="0" r="0" b="0"/>
                      <wp:wrapNone/>
                      <wp:docPr id="1" name="Frame1"/>
                      <a:graphic xmlns:a="http://schemas.openxmlformats.org/drawingml/2006/main">
                        <a:graphicData uri="http://schemas.microsoft.com/office/word/2010/wordprocessingShape">
                          <wps:wsp>
                            <wps:cNvSpPr txBox="1"/>
                            <wps:spPr>
                              <a:xfrm>
                                <a:off x="0" y="0"/>
                                <a:ext cx="216535" cy="12509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9.85pt;mso-wrap-distance-left:9.05pt;mso-wrap-distance-right:9.05pt;mso-wrap-distance-top:0pt;mso-wrap-distance-bottom:0pt;margin-top:-0.75pt;mso-position-vertical-relative:text;margin-left:133.3pt;mso-position-horizontal-relative:text">
                      <v:textbox>
                        <w:txbxContent>
                          <w:p>
                            <w:pPr>
                              <w:pStyle w:val="Normal"/>
                              <w:rPr/>
                            </w:pPr>
                            <w:r>
                              <w:rPr/>
                            </w:r>
                          </w:p>
                        </w:txbxContent>
                      </v:textbox>
                      <w10:wrap type="none"/>
                    </v:rect>
                  </w:pict>
                </mc:Fallback>
              </mc:AlternateConten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sz w:val="22"/>
              </w:rPr>
            </w:pPr>
            <w:r>
              <w:rPr>
                <w:sz w:val="22"/>
              </w:rPr>
              <w:t>Pursuant to section 7(c) of the Natural Gas Act, a certificate of public convenience and necessity is issued to Transwestern Pipeline Company in Docket No. CP01-115-000, authorizing it to construct and operate the proposed facilities, as described herein and in Transwestern’s application.</w:t>
            </w:r>
          </w:p>
          <w:p>
            <w:pPr>
              <w:pStyle w:val="Normal"/>
              <w:ind w:hanging="630" w:start="720" w:end="0"/>
              <w:rPr>
                <w:color w:val="0000FF"/>
                <w:sz w:val="22"/>
              </w:rPr>
            </w:pPr>
            <w:r>
              <w:rPr>
                <w:color w:val="0000FF"/>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p>
            <w:pPr>
              <w:pStyle w:val="Normal"/>
              <w:rPr>
                <w:sz w:val="22"/>
              </w:rPr>
            </w:pPr>
            <w:r>
              <w:rPr>
                <w:sz w:val="22"/>
              </w:rPr>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p>
            <w:pPr>
              <w:pStyle w:val="Normal"/>
              <w:rPr>
                <w:sz w:val="22"/>
              </w:rPr>
            </w:pPr>
            <w:r>
              <w:rPr>
                <w:sz w:val="22"/>
              </w:rPr>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p>
            <w:pPr>
              <w:pStyle w:val="Normal"/>
              <w:rPr>
                <w:sz w:val="22"/>
              </w:rPr>
            </w:pPr>
            <w:r>
              <w:rPr>
                <w:sz w:val="22"/>
              </w:rPr>
            </w:r>
          </w:p>
          <w:p>
            <w:pPr>
              <w:pStyle w:val="Normal"/>
              <w:rPr>
                <w:sz w:val="22"/>
              </w:rPr>
            </w:pPr>
            <w:r>
              <w:rPr>
                <w:sz w:val="22"/>
              </w:rPr>
            </w:r>
          </w:p>
          <w:p>
            <w:pPr>
              <w:pStyle w:val="Normal"/>
              <w:rPr>
                <w:sz w:val="22"/>
              </w:rPr>
            </w:pPr>
            <w:r>
              <w:rPr>
                <w:sz w:val="22"/>
              </w:rPr>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sz w:val="22"/>
              </w:rPr>
            </w:pPr>
            <w:r>
              <w:rPr>
                <w:sz w:val="22"/>
              </w:rPr>
              <w:t>Pursuant to section 7(b) of the Natural Gas Act, Transwestern is authorized to abandon in-place the existing facilities at Compressor Stations 1, 2, 3, and 4 as described herein and in its application.</w:t>
            </w:r>
          </w:p>
        </w:tc>
        <w:tc>
          <w:tcPr>
            <w:tcW w:w="171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bCs/>
                <w:color w:val="000000"/>
              </w:rPr>
            </w:pPr>
            <w:r>
              <w:rPr>
                <w:b w:val="false"/>
                <w:bCs/>
                <w:color w:val="000000"/>
              </w:rPr>
              <w:t>No</w:t>
            </w:r>
          </w:p>
        </w:tc>
        <w:tc>
          <w:tcPr>
            <w:tcW w:w="134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sz w:val="22"/>
              </w:rPr>
            </w:pPr>
            <w:r>
              <w:rPr>
                <w:sz w:val="22"/>
              </w:rPr>
              <w:t xml:space="preserve">Transwestern shall comply with Parts 154 and 157 of the regulations, especially paragraphs (a),(c)(1), (c)(2), (e), and (f) of Section 157.20. </w:t>
            </w:r>
          </w:p>
          <w:p>
            <w:pPr>
              <w:pStyle w:val="Normal"/>
              <w:ind w:start="90" w:end="0"/>
              <w:rPr>
                <w:sz w:val="22"/>
              </w:rPr>
            </w:pPr>
            <w:r>
              <w:rPr>
                <w:sz w:val="22"/>
              </w:rPr>
            </w:r>
          </w:p>
          <w:p>
            <w:pPr>
              <w:pStyle w:val="Normal"/>
              <w:ind w:hanging="450" w:start="1170" w:end="0"/>
              <w:rPr/>
            </w:pPr>
            <w:r>
              <w:rPr>
                <w:sz w:val="22"/>
              </w:rPr>
              <w:t xml:space="preserve">(a)  </w:t>
            </w:r>
            <w:r>
              <w:rPr>
                <w:b/>
                <w:bCs/>
                <w:color w:val="FF0000"/>
                <w:sz w:val="22"/>
              </w:rPr>
              <w:t>The certificate shall be void and without force or effect unless accepted in writing by applicant within 30 days from the issue date of the order issuing such certificate</w:t>
            </w:r>
            <w:r>
              <w:rPr>
                <w:sz w:val="22"/>
              </w:rPr>
              <w:t>:</w:t>
            </w:r>
            <w:r>
              <w:rPr/>
              <w:t xml:space="preserve">  </w:t>
            </w:r>
            <w:r>
              <w:rPr>
                <w:i/>
                <w:sz w:val="20"/>
              </w:rPr>
              <w:t>Provided, however,</w:t>
            </w:r>
            <w:r>
              <w:rPr>
                <w:sz w:val="20"/>
              </w:rPr>
              <w:t xml:space="preserve"> That when an application for rehearing of such order is filed in accordance with section 19 of the Natural Gas Act, such acceptance shall be filed within 30 days from the issue date of the order of the Commission upon the application for rehearing or within 30 days from the date on which such application may be deemed to have been denied when the Commission has not acted on such application within 30 days after it has been filed:  </w:t>
            </w:r>
            <w:r>
              <w:rPr>
                <w:i/>
                <w:sz w:val="20"/>
              </w:rPr>
              <w:t>Provided further,</w:t>
            </w:r>
            <w:r>
              <w:rPr>
                <w:sz w:val="20"/>
              </w:rPr>
              <w:t xml:space="preserve"> That when a petition for review is filed in accordance with the provisions of section 19 of the Natural Gas Act, such acceptance shall be filed within 30 days after final disposition of the judicial review proceedings thus initiated.</w:t>
            </w:r>
          </w:p>
          <w:p>
            <w:pPr>
              <w:pStyle w:val="Normal"/>
              <w:ind w:hanging="630" w:start="720" w:end="0"/>
              <w:rPr>
                <w:color w:val="0000FF"/>
                <w:sz w:val="22"/>
              </w:rPr>
            </w:pPr>
            <w:r>
              <w:rPr>
                <w:color w:val="0000FF"/>
                <w:sz w:val="22"/>
              </w:rPr>
              <w:t>(Responsibility:  Donna Martens)</w:t>
            </w:r>
          </w:p>
        </w:tc>
        <w:tc>
          <w:tcPr>
            <w:tcW w:w="17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FF"/>
                <w:sz w:val="22"/>
              </w:rPr>
            </w:pPr>
            <w:r>
              <w:rPr>
                <w:color w:val="0000FF"/>
                <w:sz w:val="22"/>
              </w:rPr>
            </w:r>
          </w:p>
          <w:p>
            <w:pPr>
              <w:pStyle w:val="Heading1"/>
              <w:ind w:hanging="0" w:start="0"/>
              <w:rPr/>
            </w:pPr>
            <w:r>
              <w:rPr/>
            </w:r>
          </w:p>
          <w:p>
            <w:pPr>
              <w:pStyle w:val="Heading1"/>
              <w:ind w:hanging="0" w:start="0"/>
              <w:rPr>
                <w:b w:val="false"/>
                <w:color w:val="0000FF"/>
              </w:rPr>
            </w:pPr>
            <w:r>
              <w:rPr>
                <w:b w:val="false"/>
                <w:color w:val="0000FF"/>
              </w:rPr>
            </w:r>
          </w:p>
          <w:p>
            <w:pPr>
              <w:pStyle w:val="Heading1"/>
              <w:ind w:hanging="0" w:start="0"/>
              <w:rPr>
                <w:b w:val="false"/>
              </w:rPr>
            </w:pPr>
            <w:r>
              <w:rPr>
                <w:b w:val="false"/>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sz w:val="22"/>
              </w:rPr>
            </w:pPr>
            <w:r>
              <w:rPr>
                <w:b w:val="false"/>
                <w:sz w:val="22"/>
              </w:rPr>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p>
            <w:pPr>
              <w:pStyle w:val="Normal"/>
              <w:rPr>
                <w:color w:val="0000FF"/>
                <w:sz w:val="22"/>
              </w:rPr>
            </w:pPr>
            <w:r>
              <w:rPr>
                <w:color w:val="0000FF"/>
                <w:sz w:val="22"/>
              </w:rPr>
            </w:r>
          </w:p>
          <w:p>
            <w:pPr>
              <w:pStyle w:val="Normal"/>
              <w:rPr>
                <w:color w:val="0000FF"/>
                <w:sz w:val="22"/>
              </w:rPr>
            </w:pPr>
            <w:r>
              <w:rPr>
                <w:color w:val="0000FF"/>
                <w:sz w:val="22"/>
              </w:rPr>
            </w:r>
          </w:p>
          <w:p>
            <w:pPr>
              <w:pStyle w:val="Normal"/>
              <w:rPr>
                <w:b/>
                <w:bCs/>
                <w:color w:val="0000FF"/>
                <w:sz w:val="22"/>
              </w:rPr>
            </w:pPr>
            <w:r>
              <w:rPr>
                <w:color w:val="0000FF"/>
                <w:sz w:val="22"/>
              </w:rPr>
              <w:t>TW Accepted</w:t>
            </w:r>
            <w:r>
              <w:rPr>
                <w:b/>
                <w:bCs/>
                <w:color w:val="0000FF"/>
                <w:sz w:val="22"/>
              </w:rPr>
              <w:t xml:space="preserve"> </w:t>
            </w:r>
            <w:r>
              <w:rPr>
                <w:color w:val="0000FF"/>
                <w:sz w:val="22"/>
              </w:rPr>
              <w:t>Certificate on 7/19/2001</w:t>
            </w:r>
          </w:p>
        </w:tc>
      </w:tr>
      <w:tr>
        <w:trPr/>
        <w:tc>
          <w:tcPr>
            <w:tcW w:w="10098" w:type="dxa"/>
            <w:tcBorders>
              <w:top w:val="single" w:sz="6" w:space="0" w:color="000000"/>
              <w:start w:val="single" w:sz="6" w:space="0" w:color="000000"/>
              <w:bottom w:val="single" w:sz="6" w:space="0" w:color="000000"/>
              <w:end w:val="single" w:sz="6" w:space="0" w:color="000000"/>
            </w:tcBorders>
          </w:tcPr>
          <w:p>
            <w:pPr>
              <w:pStyle w:val="Normal"/>
              <w:numPr>
                <w:ilvl w:val="0"/>
                <w:numId w:val="6"/>
              </w:numPr>
              <w:rPr>
                <w:sz w:val="20"/>
              </w:rPr>
            </w:pPr>
            <w:r>
              <w:rPr>
                <w:sz w:val="20"/>
              </w:rPr>
              <w:t>Applicant must file with the Commission, in writing and under oath, an original and four conformed copies, as prescribed in Sec.  385.2011 of this chapter and, upon request must furnish an intervener with a single copy, of the following:</w:t>
            </w:r>
          </w:p>
          <w:p>
            <w:pPr>
              <w:pStyle w:val="Normal"/>
              <w:ind w:start="765" w:end="0"/>
              <w:rPr>
                <w:b/>
                <w:sz w:val="22"/>
              </w:rPr>
            </w:pPr>
            <w:r>
              <w:rPr>
                <w:b/>
                <w:sz w:val="22"/>
              </w:rPr>
            </w:r>
          </w:p>
          <w:p>
            <w:pPr>
              <w:pStyle w:val="BodyTextIndent2"/>
              <w:ind w:hanging="405" w:start="1170" w:end="0"/>
              <w:rPr/>
            </w:pPr>
            <w:r>
              <w:rPr>
                <w:sz w:val="22"/>
              </w:rPr>
              <w:t xml:space="preserve">(1) </w:t>
            </w:r>
            <w:r>
              <w:rPr>
                <w:b/>
                <w:bCs/>
                <w:color w:val="FF0000"/>
                <w:sz w:val="22"/>
              </w:rPr>
              <w:t>Within ten days after the bona fide beginning of construction, notice of the date of such beginning</w:t>
            </w:r>
            <w:r>
              <w:rPr>
                <w:color w:val="FF0000"/>
                <w:sz w:val="22"/>
              </w:rPr>
              <w:t>;</w:t>
            </w:r>
          </w:p>
          <w:p>
            <w:pPr>
              <w:pStyle w:val="Normal"/>
              <w:ind w:hanging="720" w:start="720" w:end="0"/>
              <w:rPr>
                <w:color w:val="0000FF"/>
              </w:rPr>
            </w:pPr>
            <w:r>
              <w:rPr>
                <w:color w:val="0000FF"/>
                <w:sz w:val="22"/>
              </w:rPr>
              <w:t xml:space="preserve">(Responsibility: Earl Chanley)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Normal"/>
              <w:rPr>
                <w:color w:val="FF0000"/>
                <w:sz w:val="22"/>
              </w:rPr>
            </w:pPr>
            <w:r>
              <w:rPr>
                <w:color w:val="FF0000"/>
                <w:sz w:val="22"/>
              </w:rPr>
            </w:r>
          </w:p>
          <w:p>
            <w:pPr>
              <w:pStyle w:val="Heading1"/>
              <w:ind w:hanging="0" w:start="0"/>
              <w:rPr>
                <w:b w:val="false"/>
              </w:rPr>
            </w:pPr>
            <w:r>
              <w:rPr>
                <w:b w:val="false"/>
              </w:rPr>
              <w:t>Yes</w:t>
            </w:r>
          </w:p>
        </w:tc>
        <w:tc>
          <w:tcPr>
            <w:tcW w:w="1343" w:type="dxa"/>
            <w:tcBorders>
              <w:top w:val="single" w:sz="6" w:space="0" w:color="000000"/>
              <w:start w:val="single" w:sz="6" w:space="0" w:color="000000"/>
              <w:bottom w:val="single" w:sz="6" w:space="0" w:color="000000"/>
              <w:end w:val="single" w:sz="6" w:space="0" w:color="000000"/>
            </w:tcBorders>
          </w:tcPr>
          <w:p>
            <w:pPr>
              <w:pStyle w:val="Normal"/>
              <w:snapToGrid w:val="false"/>
              <w:rPr>
                <w:b w:val="false"/>
                <w:sz w:val="22"/>
              </w:rPr>
            </w:pPr>
            <w:r>
              <w:rPr>
                <w:b w:val="false"/>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color w:val="0000FF"/>
                <w:sz w:val="22"/>
              </w:rPr>
            </w:pPr>
            <w:r>
              <w:rPr>
                <w:color w:val="0000FF"/>
                <w:sz w:val="22"/>
              </w:rPr>
              <w:t>On 10/15/2001 notified FERC tree clearing at Sta 2 began on 10/11/2001</w:t>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90"/>
        <w:gridCol w:w="1800"/>
        <w:gridCol w:w="90"/>
        <w:gridCol w:w="1163"/>
        <w:gridCol w:w="7"/>
        <w:gridCol w:w="1440"/>
      </w:tblGrid>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450" w:start="1170" w:end="0"/>
              <w:rPr>
                <w:color w:val="0000FF"/>
                <w:sz w:val="22"/>
              </w:rPr>
            </w:pPr>
            <w:r>
              <w:rPr>
                <w:sz w:val="22"/>
              </w:rPr>
              <w:t xml:space="preserve">(2)  </w:t>
            </w:r>
            <w:r>
              <w:rPr>
                <w:b/>
                <w:bCs/>
                <w:color w:val="FF0000"/>
                <w:sz w:val="22"/>
              </w:rPr>
              <w:t>Within ten days after authorized facilities have been constructed and placed in service or any authorized operation, sale, or service, has commenced, notice of the date of such placement and commencement and</w:t>
            </w:r>
            <w:r>
              <w:rPr>
                <w:color w:val="FF0000"/>
                <w:sz w:val="22"/>
              </w:rPr>
              <w:t xml:space="preserve"> </w:t>
            </w:r>
          </w:p>
          <w:p>
            <w:pPr>
              <w:pStyle w:val="Normal"/>
              <w:ind w:hanging="720" w:start="720" w:end="0"/>
              <w:rPr>
                <w:sz w:val="22"/>
              </w:rPr>
            </w:pPr>
            <w:r>
              <w:rPr>
                <w:rFonts w:eastAsia="Arial"/>
                <w:color w:val="0000FF"/>
                <w:sz w:val="22"/>
              </w:rPr>
              <w:t xml:space="preserve"> </w:t>
            </w:r>
            <w:r>
              <w:rPr>
                <w:color w:val="0000FF"/>
                <w:sz w:val="22"/>
              </w:rPr>
              <w:t>(Responsibility: Earl Chanley)</w:t>
            </w:r>
          </w:p>
        </w:tc>
        <w:tc>
          <w:tcPr>
            <w:tcW w:w="1800"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Yes</w:t>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pPr>
            <w:r>
              <w:rPr>
                <w:rFonts w:eastAsia="Arial"/>
                <w:sz w:val="22"/>
              </w:rPr>
              <w:t xml:space="preserve"> </w:t>
            </w:r>
            <w:r>
              <w:rPr>
                <w:color w:val="FF0000"/>
                <w:sz w:val="22"/>
              </w:rPr>
              <w:t>No</w:t>
            </w:r>
          </w:p>
        </w:tc>
        <w:tc>
          <w:tcPr>
            <w:tcW w:w="1440" w:type="dxa"/>
            <w:tcBorders>
              <w:top w:val="single" w:sz="6" w:space="0" w:color="000000"/>
              <w:start w:val="single" w:sz="6" w:space="0" w:color="000000"/>
              <w:bottom w:val="single" w:sz="6" w:space="0" w:color="000000"/>
              <w:end w:val="single" w:sz="6" w:space="0" w:color="000000"/>
            </w:tcBorders>
          </w:tcPr>
          <w:p>
            <w:pPr>
              <w:pStyle w:val="BodyText2"/>
              <w:snapToGrid w:val="false"/>
              <w:rPr>
                <w:color w:val="FF0000"/>
                <w:sz w:val="22"/>
              </w:rPr>
            </w:pPr>
            <w:r>
              <w:rPr>
                <w:color w:val="FF0000"/>
                <w:sz w:val="22"/>
              </w:rPr>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1080" w:start="1080" w:end="0"/>
              <w:rPr>
                <w:b/>
                <w:bCs/>
                <w:sz w:val="22"/>
              </w:rPr>
            </w:pPr>
            <w:r>
              <w:rPr>
                <w:rFonts w:eastAsia="Arial"/>
                <w:sz w:val="22"/>
              </w:rPr>
              <w:t xml:space="preserve">           </w:t>
            </w:r>
            <w:r>
              <w:rPr>
                <w:sz w:val="22"/>
              </w:rPr>
              <w:t xml:space="preserve">(3)  </w:t>
            </w:r>
            <w:r>
              <w:rPr>
                <w:b/>
                <w:bCs/>
                <w:color w:val="FF0000"/>
                <w:sz w:val="22"/>
              </w:rPr>
              <w:t>Within six months after authorized facilities have been constructed, a statement showing, on the basis of all costs incurred to that date and estimated to be incurred for final completion of the project, the cost of constructing authorized facilities, such total costs to be classified according to the estimates submitted in the certificate proceeding and compared therewith and any significant differences explained.</w:t>
            </w:r>
          </w:p>
          <w:p>
            <w:pPr>
              <w:pStyle w:val="Normal"/>
              <w:ind w:hanging="720" w:start="720" w:end="0"/>
              <w:rPr>
                <w:color w:val="0000FF"/>
                <w:sz w:val="22"/>
              </w:rPr>
            </w:pPr>
            <w:r>
              <w:rPr>
                <w:color w:val="0000FF"/>
                <w:sz w:val="22"/>
              </w:rPr>
              <w:t>(Responsibility: Earl Chanley)</w:t>
            </w:r>
          </w:p>
        </w:tc>
        <w:tc>
          <w:tcPr>
            <w:tcW w:w="180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sz w:val="22"/>
              </w:rPr>
            </w:pPr>
            <w:r>
              <w:rPr>
                <w:b w:val="false"/>
                <w:sz w:val="22"/>
              </w:rPr>
              <w:t>Yes</w:t>
            </w:r>
          </w:p>
          <w:p>
            <w:pPr>
              <w:pStyle w:val="Normal"/>
              <w:rPr>
                <w:b/>
                <w:sz w:val="22"/>
              </w:rPr>
            </w:pPr>
            <w:r>
              <w:rPr>
                <w:b/>
                <w:sz w:val="22"/>
              </w:rPr>
            </w:r>
          </w:p>
          <w:p>
            <w:pPr>
              <w:pStyle w:val="Normal"/>
              <w:rPr>
                <w:color w:val="0000FF"/>
              </w:rPr>
            </w:pPr>
            <w:r>
              <w:rPr>
                <w:color w:val="0000FF"/>
              </w:rPr>
            </w:r>
          </w:p>
        </w:tc>
        <w:tc>
          <w:tcPr>
            <w:tcW w:w="1260" w:type="dxa"/>
            <w:gridSpan w:val="3"/>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p>
            <w:pPr>
              <w:pStyle w:val="Normal"/>
              <w:rPr>
                <w:color w:val="FF0000"/>
                <w:sz w:val="22"/>
              </w:rPr>
            </w:pPr>
            <w:r>
              <w:rPr>
                <w:color w:val="FF0000"/>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FF0000"/>
                <w:sz w:val="22"/>
              </w:rPr>
            </w:pPr>
            <w:r>
              <w:rPr>
                <w:b/>
                <w:color w:val="FF0000"/>
                <w:sz w:val="22"/>
              </w:rPr>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BodyTextIndent3"/>
              <w:rPr>
                <w:sz w:val="22"/>
              </w:rPr>
            </w:pPr>
            <w:r>
              <w:rPr>
                <w:rFonts w:eastAsia="Arial"/>
                <w:sz w:val="22"/>
              </w:rPr>
              <w:t xml:space="preserve">            </w:t>
            </w:r>
            <w:r>
              <w:rPr>
                <w:sz w:val="22"/>
              </w:rPr>
              <w:t>e.  The certificated issued to applicant is not transferable in any manner and shall be effective only so long as applicant continues the operations authorized by the order issuing such certificate and in accordance with the provisions of the Natural Gas Act, as well as applicable rules, regulations, and orders of the Commission</w:t>
            </w:r>
          </w:p>
          <w:p>
            <w:pPr>
              <w:pStyle w:val="Normal"/>
              <w:ind w:hanging="720" w:start="720" w:end="0"/>
              <w:rPr>
                <w:color w:val="0000FF"/>
                <w:sz w:val="22"/>
              </w:rPr>
            </w:pPr>
            <w:r>
              <w:rPr>
                <w:color w:val="0000FF"/>
                <w:sz w:val="22"/>
              </w:rPr>
              <w:t>(Responsibility:  All)</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98" w:type="dxa"/>
            <w:gridSpan w:val="2"/>
            <w:tcBorders>
              <w:top w:val="single" w:sz="6" w:space="0" w:color="000000"/>
              <w:start w:val="single" w:sz="6" w:space="0" w:color="000000"/>
              <w:bottom w:val="single" w:sz="6" w:space="0" w:color="000000"/>
              <w:end w:val="single" w:sz="6" w:space="0" w:color="000000"/>
            </w:tcBorders>
          </w:tcPr>
          <w:p>
            <w:pPr>
              <w:pStyle w:val="Normal"/>
              <w:ind w:hanging="90" w:start="810" w:end="0"/>
              <w:rPr>
                <w:sz w:val="22"/>
              </w:rPr>
            </w:pPr>
            <w:r>
              <w:rPr>
                <w:rFonts w:eastAsia="Arial"/>
                <w:sz w:val="22"/>
              </w:rPr>
              <w:t xml:space="preserve">  </w:t>
            </w:r>
            <w:r>
              <w:rPr>
                <w:sz w:val="22"/>
              </w:rPr>
              <w:t>(f)  In the interest of safety and reliability of service, facilities authorized by the certificate shall not be operated at pressures exceeding the maximum operating pressure set forth in Exhibit G-II to the application as it may be amended prior to issuance of the certificate.  In the event the applicant thereafter wishes to change such maximum operating pressure it shall file an appropriate petition for amendment of the certificate.  Such petition shall include the reasons for the proposed change.  Nothing contained herein authorizes a natural gas company to operate any facility at a pressure above the maximum prescribed by state law, if such law requires a lower pressure than authorized hereby.</w:t>
            </w:r>
          </w:p>
          <w:p>
            <w:pPr>
              <w:pStyle w:val="Normal"/>
              <w:ind w:hanging="720" w:start="720" w:end="0"/>
              <w:rPr>
                <w:color w:val="0000FF"/>
                <w:sz w:val="22"/>
              </w:rPr>
            </w:pPr>
            <w:r>
              <w:rPr>
                <w:color w:val="0000FF"/>
                <w:sz w:val="22"/>
              </w:rPr>
              <w:t xml:space="preserve">(Responsibility: Earl Chanley, Arnold Eisenstein)  </w:t>
            </w:r>
          </w:p>
        </w:tc>
        <w:tc>
          <w:tcPr>
            <w:tcW w:w="1890"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sz w:val="22"/>
              </w:rPr>
            </w:pPr>
            <w:r>
              <w:rPr>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No</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(D)       </w:t>
            </w:r>
            <w:r>
              <w:rPr>
                <w:b/>
                <w:bCs/>
                <w:color w:val="FF0000"/>
                <w:sz w:val="22"/>
              </w:rPr>
              <w:t xml:space="preserve">The facilities authorized in Ordering Paragraph (A) shall be constructed and made available for service within one year from the issuance of a final order in this proceeding, as provided in Section 157.20(b) of the Commission’s regulations. </w:t>
            </w:r>
          </w:p>
          <w:p>
            <w:pPr>
              <w:pStyle w:val="Normal"/>
              <w:ind w:hanging="720" w:start="720" w:end="0"/>
              <w:rPr>
                <w:b/>
                <w:bCs/>
                <w:color w:val="FF0000"/>
                <w:sz w:val="22"/>
              </w:rPr>
            </w:pPr>
            <w:r>
              <w:rPr>
                <w:b/>
                <w:bCs/>
                <w:color w:val="FF0000"/>
                <w:sz w:val="22"/>
              </w:rPr>
            </w:r>
          </w:p>
          <w:p>
            <w:pPr>
              <w:pStyle w:val="Normal"/>
              <w:ind w:hanging="720" w:start="720" w:end="0"/>
              <w:rPr/>
            </w:pPr>
            <w:r>
              <w:rPr>
                <w:rFonts w:eastAsia="Arial"/>
                <w:color w:val="FF0000"/>
                <w:sz w:val="22"/>
              </w:rPr>
              <w:t xml:space="preserve">            </w:t>
            </w:r>
            <w:r>
              <w:rPr>
                <w:b/>
                <w:bCs/>
                <w:color w:val="FF0000"/>
                <w:sz w:val="22"/>
              </w:rPr>
              <w:t>(NOTE: We must notify the Commission in writing no later than 10 days after expiration of the one year stipulation if the end-user/shipper is unable to meet the imposed timetable to commence service.)</w:t>
            </w:r>
          </w:p>
          <w:p>
            <w:pPr>
              <w:pStyle w:val="Normal"/>
              <w:rPr>
                <w:color w:val="0000FF"/>
                <w:sz w:val="22"/>
              </w:rPr>
            </w:pPr>
            <w:r>
              <w:rPr>
                <w:color w:val="0000FF"/>
                <w:sz w:val="22"/>
              </w:rPr>
              <w:t>(Responsibility:  Earl Chanley, Lorraine Lindberg)</w:t>
            </w:r>
          </w:p>
        </w:tc>
        <w:tc>
          <w:tcPr>
            <w:tcW w:w="1980" w:type="dxa"/>
            <w:gridSpan w:val="3"/>
            <w:tcBorders>
              <w:top w:val="single" w:sz="6" w:space="0" w:color="000000"/>
              <w:start w:val="single" w:sz="6" w:space="0" w:color="000000"/>
              <w:bottom w:val="single" w:sz="6" w:space="0" w:color="000000"/>
              <w:end w:val="single" w:sz="6" w:space="0" w:color="000000"/>
            </w:tcBorders>
          </w:tcPr>
          <w:p>
            <w:pPr>
              <w:pStyle w:val="Heading2"/>
              <w:ind w:hanging="0" w:start="0"/>
              <w:rPr>
                <w:b w:val="false"/>
                <w:sz w:val="22"/>
              </w:rPr>
            </w:pPr>
            <w:r>
              <w:rPr>
                <w:b w:val="false"/>
                <w:sz w:val="22"/>
              </w:rPr>
              <w:t>Yes, if applicable</w:t>
            </w:r>
          </w:p>
          <w:p>
            <w:pPr>
              <w:pStyle w:val="Normal"/>
              <w:rPr>
                <w:b/>
                <w:sz w:val="22"/>
              </w:rPr>
            </w:pPr>
            <w:r>
              <w:rPr>
                <w:b/>
                <w:sz w:val="22"/>
              </w:rPr>
            </w:r>
          </w:p>
          <w:p>
            <w:pPr>
              <w:pStyle w:val="Normal"/>
              <w:rPr>
                <w:b/>
                <w:color w:val="0000FF"/>
                <w:sz w:val="22"/>
              </w:rPr>
            </w:pPr>
            <w:r>
              <w:rPr>
                <w:b/>
                <w:color w:val="0000FF"/>
                <w:sz w:val="22"/>
              </w:rPr>
              <w:t>On 11/26/2001 filed request for extension of time until 6/14/2003 to replace Station 4 units</w:t>
            </w:r>
          </w:p>
        </w:tc>
        <w:tc>
          <w:tcPr>
            <w:tcW w:w="1163"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color w:val="FF0000"/>
                <w:sz w:val="22"/>
              </w:rPr>
            </w:pPr>
            <w:r>
              <w:rPr>
                <w:color w:val="FF0000"/>
                <w:sz w:val="22"/>
              </w:rPr>
              <w:t>No</w:t>
            </w:r>
          </w:p>
          <w:p>
            <w:pPr>
              <w:pStyle w:val="Header"/>
              <w:tabs>
                <w:tab w:val="clear" w:pos="4320"/>
                <w:tab w:val="clear" w:pos="8640"/>
              </w:tabs>
              <w:rPr>
                <w:color w:val="FF0000"/>
                <w:sz w:val="22"/>
              </w:rPr>
            </w:pPr>
            <w:r>
              <w:rPr>
                <w:color w:val="FF0000"/>
                <w:sz w:val="22"/>
              </w:rPr>
            </w:r>
          </w:p>
          <w:p>
            <w:pPr>
              <w:pStyle w:val="Header"/>
              <w:tabs>
                <w:tab w:val="clear" w:pos="4320"/>
                <w:tab w:val="clear" w:pos="8640"/>
              </w:tabs>
              <w:rPr>
                <w:b/>
                <w:color w:val="0000FF"/>
                <w:sz w:val="22"/>
              </w:rPr>
            </w:pPr>
            <w:r>
              <w:rPr>
                <w:b/>
                <w:color w:val="0000FF"/>
                <w:sz w:val="22"/>
              </w:rPr>
              <w:t>YES</w:t>
            </w:r>
          </w:p>
        </w:tc>
        <w:tc>
          <w:tcPr>
            <w:tcW w:w="144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color w:val="0000FF"/>
                <w:sz w:val="22"/>
              </w:rPr>
            </w:pPr>
            <w:r>
              <w:rPr>
                <w:b/>
                <w:color w:val="0000FF"/>
                <w:sz w:val="22"/>
              </w:rPr>
            </w:r>
          </w:p>
        </w:tc>
      </w:tr>
    </w:tbl>
    <w:p>
      <w:pPr>
        <w:pStyle w:val="Normal"/>
        <w:rPr/>
      </w:pPr>
      <w:r>
        <w:rPr/>
      </w:r>
    </w:p>
    <w:tbl>
      <w:tblPr>
        <w:tblW w:w="14598" w:type="dxa"/>
        <w:jc w:val="start"/>
        <w:tblInd w:w="0" w:type="dxa"/>
        <w:tblLayout w:type="fixed"/>
        <w:tblCellMar>
          <w:top w:w="0" w:type="dxa"/>
          <w:start w:w="108" w:type="dxa"/>
          <w:bottom w:w="0" w:type="dxa"/>
          <w:end w:w="108" w:type="dxa"/>
        </w:tblCellMar>
      </w:tblPr>
      <w:tblGrid>
        <w:gridCol w:w="10008"/>
        <w:gridCol w:w="1980"/>
        <w:gridCol w:w="1163"/>
        <w:gridCol w:w="1447"/>
      </w:tblGrid>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color w:val="FF0000"/>
                <w:sz w:val="22"/>
              </w:rPr>
            </w:pPr>
            <w:r>
              <w:rPr>
                <w:sz w:val="22"/>
              </w:rPr>
              <w:t xml:space="preserve">(E)      </w:t>
            </w:r>
            <w:r>
              <w:rPr>
                <w:b/>
                <w:bCs/>
                <w:color w:val="FF0000"/>
                <w:sz w:val="22"/>
              </w:rPr>
              <w:t xml:space="preserve">Transwestern must execute firm contracts for capacity equal to that subscribed in the filed precedent agreements prior to commencing the construction of the facilities authorized in Ordering Paragraph (A). </w:t>
            </w:r>
          </w:p>
          <w:p>
            <w:pPr>
              <w:pStyle w:val="Normal"/>
              <w:rPr>
                <w:color w:val="0000FF"/>
                <w:sz w:val="22"/>
              </w:rPr>
            </w:pPr>
            <w:r>
              <w:rPr>
                <w:color w:val="0000FF"/>
                <w:sz w:val="22"/>
              </w:rPr>
              <w:t>(Responsibility:  Lorraine Lindberg)</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FF"/>
                <w:sz w:val="22"/>
              </w:rPr>
            </w:pPr>
            <w:r>
              <w:rPr>
                <w:color w:val="0000FF"/>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color w:val="FF0000"/>
                <w:sz w:val="22"/>
              </w:rPr>
            </w:pPr>
            <w:r>
              <w:rPr>
                <w:sz w:val="22"/>
              </w:rPr>
              <w:t xml:space="preserve">(F)       </w:t>
            </w:r>
            <w:r>
              <w:rPr>
                <w:b/>
                <w:bCs/>
                <w:color w:val="FF0000"/>
                <w:sz w:val="22"/>
              </w:rPr>
              <w:t>The authority issued in Ordering Paragraph (A) above is conditioned on Transwestern’s compliance with the environmental conditions set for the in Appendix A hereto.</w:t>
            </w:r>
          </w:p>
          <w:p>
            <w:pPr>
              <w:pStyle w:val="Normal"/>
              <w:rPr>
                <w:color w:val="0000FF"/>
                <w:sz w:val="22"/>
              </w:rPr>
            </w:pPr>
            <w:r>
              <w:rPr>
                <w:color w:val="0000FF"/>
                <w:sz w:val="22"/>
              </w:rPr>
              <w:t>(Responsibility:  Larry Campbell,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(G)       </w:t>
            </w:r>
            <w:r>
              <w:rPr>
                <w:b/>
                <w:bCs/>
                <w:color w:val="FF0000"/>
                <w:sz w:val="22"/>
              </w:rPr>
              <w:t>Transwestern shall notify the Commission’s environmental staff by telephone and/or facsimile of any environmental noncompliance identified by other Federal, state, or local agencies on the same day that such agency notifies Transwestern.  Transwestern shall file written confirmation of such notification with the Secretary of the Commission within 24 hours.</w:t>
            </w:r>
          </w:p>
          <w:p>
            <w:pPr>
              <w:pStyle w:val="Normal"/>
              <w:ind w:hanging="720" w:start="720" w:end="0"/>
              <w:rPr>
                <w:color w:val="0000FF"/>
                <w:sz w:val="22"/>
              </w:rPr>
            </w:pPr>
            <w:r>
              <w:rPr>
                <w:color w:val="0000FF"/>
                <w:sz w:val="22"/>
              </w:rPr>
              <w:t>(Responsibility:  Larry Campbell,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 if applicable</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(H)       </w:t>
            </w:r>
            <w:r>
              <w:rPr>
                <w:sz w:val="18"/>
              </w:rPr>
              <w:t>All motions to intervene out-of-time otherwise not permitted by the Commission’s regulations are granted in Docket No. CP01-115-000.</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c>
          <w:tcPr>
            <w:tcW w:w="1163" w:type="dxa"/>
            <w:tcBorders>
              <w:top w:val="single" w:sz="6" w:space="0" w:color="000000"/>
              <w:start w:val="single" w:sz="6" w:space="0" w:color="000000"/>
              <w:bottom w:val="single" w:sz="6" w:space="0" w:color="000000"/>
              <w:end w:val="single" w:sz="6" w:space="0" w:color="000000"/>
            </w:tcBorders>
          </w:tcPr>
          <w:p>
            <w:pPr>
              <w:pStyle w:val="Normal"/>
              <w:rPr>
                <w:sz w:val="22"/>
              </w:rPr>
            </w:pPr>
            <w:r>
              <w:rPr>
                <w:sz w:val="22"/>
              </w:rPr>
              <w:t>NA</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10008" w:type="dxa"/>
            <w:tcBorders>
              <w:top w:val="single" w:sz="6" w:space="0" w:color="000000"/>
              <w:start w:val="single" w:sz="6" w:space="0" w:color="000000"/>
              <w:bottom w:val="single" w:sz="6" w:space="0" w:color="000000"/>
              <w:end w:val="single" w:sz="6" w:space="0" w:color="000000"/>
            </w:tcBorders>
          </w:tcPr>
          <w:p>
            <w:pPr>
              <w:pStyle w:val="Normal"/>
              <w:ind w:hanging="720" w:start="720" w:end="0"/>
              <w:rPr/>
            </w:pPr>
            <w:r>
              <w:rPr>
                <w:sz w:val="22"/>
              </w:rPr>
              <w:t xml:space="preserve">(I)        </w:t>
            </w:r>
            <w:r>
              <w:rPr>
                <w:b/>
                <w:bCs/>
                <w:color w:val="FF0000"/>
                <w:sz w:val="22"/>
              </w:rPr>
              <w:t>Transwestern shall notify the Commission within 10 days of the abandonment approved in Ordering Paragraph (B).</w:t>
            </w:r>
          </w:p>
          <w:p>
            <w:pPr>
              <w:pStyle w:val="Normal"/>
              <w:ind w:hanging="720" w:start="720" w:end="0"/>
              <w:rPr>
                <w:color w:val="0000FF"/>
                <w:sz w:val="22"/>
              </w:rPr>
            </w:pPr>
            <w:r>
              <w:rPr>
                <w:color w:val="0000FF"/>
                <w:sz w:val="22"/>
              </w:rPr>
              <w:t>(Responsibility:  Earl Chanley)</w:t>
            </w:r>
          </w:p>
        </w:tc>
        <w:tc>
          <w:tcPr>
            <w:tcW w:w="1980"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Yes</w:t>
            </w:r>
          </w:p>
        </w:tc>
        <w:tc>
          <w:tcPr>
            <w:tcW w:w="1163" w:type="dxa"/>
            <w:tcBorders>
              <w:top w:val="single" w:sz="6" w:space="0" w:color="000000"/>
              <w:start w:val="single" w:sz="6" w:space="0" w:color="000000"/>
              <w:bottom w:val="single" w:sz="6" w:space="0" w:color="000000"/>
              <w:end w:val="single" w:sz="6" w:space="0" w:color="000000"/>
            </w:tcBorders>
          </w:tcPr>
          <w:p>
            <w:pPr>
              <w:pStyle w:val="Normal"/>
              <w:rPr>
                <w:color w:val="FF0000"/>
                <w:sz w:val="22"/>
              </w:rPr>
            </w:pPr>
            <w:r>
              <w:rPr>
                <w:color w:val="FF0000"/>
                <w:sz w:val="22"/>
              </w:rPr>
              <w:t>No</w:t>
            </w:r>
          </w:p>
        </w:tc>
        <w:tc>
          <w:tcPr>
            <w:tcW w:w="1447" w:type="dxa"/>
            <w:tcBorders>
              <w:top w:val="single" w:sz="6" w:space="0" w:color="000000"/>
              <w:start w:val="single" w:sz="6" w:space="0" w:color="000000"/>
              <w:bottom w:val="single" w:sz="6" w:space="0" w:color="000000"/>
              <w:end w:val="single" w:sz="6" w:space="0" w:color="000000"/>
            </w:tcBorders>
          </w:tcPr>
          <w:p>
            <w:pPr>
              <w:pStyle w:val="Normal"/>
              <w:snapToGrid w:val="false"/>
              <w:rPr>
                <w:color w:val="FF0000"/>
                <w:sz w:val="22"/>
              </w:rPr>
            </w:pPr>
            <w:r>
              <w:rPr>
                <w:color w:val="FF0000"/>
                <w:sz w:val="22"/>
              </w:rPr>
            </w:r>
          </w:p>
        </w:tc>
      </w:tr>
    </w:tbl>
    <w:p>
      <w:pPr>
        <w:pStyle w:val="Normal"/>
        <w:tabs>
          <w:tab w:val="clear" w:pos="720"/>
          <w:tab w:val="left" w:pos="1080" w:leader="none"/>
        </w:tabs>
        <w:ind w:hanging="1080" w:start="1080" w:end="0"/>
        <w:rPr>
          <w:sz w:val="22"/>
        </w:rPr>
      </w:pPr>
      <w:r>
        <w:rPr>
          <w:sz w:val="22"/>
        </w:rPr>
      </w:r>
    </w:p>
    <w:sectPr>
      <w:headerReference w:type="default" r:id="rId2"/>
      <w:footerReference w:type="default" r:id="rId3"/>
      <w:type w:val="nextPage"/>
      <w:pgSz w:orient="landscape" w:w="15840" w:h="12240"/>
      <w:pgMar w:left="360" w:right="360" w:gutter="0" w:header="576" w:top="6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40" w:type="dxa"/>
      <w:jc w:val="start"/>
      <w:tblInd w:w="13158" w:type="dxa"/>
      <w:tblLayout w:type="fixed"/>
      <w:tblCellMar>
        <w:top w:w="0" w:type="dxa"/>
        <w:start w:w="108" w:type="dxa"/>
        <w:bottom w:w="0" w:type="dxa"/>
        <w:end w:w="108" w:type="dxa"/>
      </w:tblCellMar>
    </w:tblPr>
    <w:tblGrid>
      <w:gridCol w:w="1440"/>
    </w:tblGrid>
    <w:tr>
      <w:trPr/>
      <w:tc>
        <w:tcPr>
          <w:tcW w:w="1440" w:type="dxa"/>
          <w:tcBorders>
            <w:top w:val="single" w:sz="6" w:space="0" w:color="000000"/>
            <w:start w:val="single" w:sz="6" w:space="0" w:color="000000"/>
            <w:end w:val="single" w:sz="6" w:space="0" w:color="000000"/>
          </w:tcBorders>
          <w:shd w:fill="E5E5E5" w:val="clear"/>
        </w:tcPr>
        <w:p>
          <w:pPr>
            <w:pStyle w:val="Header"/>
            <w:jc w:val="center"/>
            <w:rPr>
              <w:sz w:val="16"/>
            </w:rPr>
          </w:pPr>
          <w:r>
            <w:rPr>
              <w:sz w:val="16"/>
            </w:rPr>
            <w:t xml:space="preserve">Project Clearance Received </w:t>
          </w:r>
        </w:p>
      </w:tc>
    </w:tr>
    <w:tr>
      <w:trPr/>
      <w:tc>
        <w:tcPr>
          <w:tcW w:w="1440" w:type="dxa"/>
          <w:tcBorders>
            <w:start w:val="single" w:sz="6" w:space="0" w:color="000000"/>
            <w:end w:val="single" w:sz="6" w:space="0" w:color="000000"/>
          </w:tcBorders>
        </w:tcPr>
        <w:p>
          <w:pPr>
            <w:pStyle w:val="Header"/>
            <w:rPr>
              <w:color w:val="0000FF"/>
              <w:sz w:val="16"/>
            </w:rPr>
          </w:pPr>
          <w:r>
            <w:rPr>
              <w:color w:val="0000FF"/>
              <w:sz w:val="16"/>
            </w:rPr>
            <w:t>dfm 11/20/2001</w:t>
          </w:r>
        </w:p>
        <w:p>
          <w:pPr>
            <w:pStyle w:val="Header"/>
            <w:rPr>
              <w:color w:val="0000FF"/>
              <w:sz w:val="16"/>
            </w:rPr>
          </w:pPr>
          <w:r>
            <w:rPr>
              <w:color w:val="0000FF"/>
              <w:sz w:val="16"/>
            </w:rPr>
          </w:r>
        </w:p>
        <w:p>
          <w:pPr>
            <w:pStyle w:val="Header"/>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color w:val="0000FF"/>
              <w:sz w:val="16"/>
            </w:rPr>
          </w:pPr>
          <w:r>
            <w:rPr>
              <w:color w:val="0000FF"/>
              <w:sz w:val="16"/>
            </w:rPr>
          </w:r>
        </w:p>
      </w:tc>
    </w:tr>
    <w:tr>
      <w:trPr/>
      <w:tc>
        <w:tcPr>
          <w:tcW w:w="1440" w:type="dxa"/>
          <w:tcBorders>
            <w:start w:val="single" w:sz="6" w:space="0" w:color="000000"/>
            <w:end w:val="single" w:sz="6" w:space="0" w:color="000000"/>
          </w:tcBorders>
        </w:tcPr>
        <w:p>
          <w:pPr>
            <w:pStyle w:val="Header"/>
            <w:snapToGrid w:val="false"/>
            <w:rPr>
              <w:sz w:val="16"/>
            </w:rPr>
          </w:pPr>
          <w:r>
            <w:rPr>
              <w:sz w:val="16"/>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er"/>
            <w:rPr>
              <w:sz w:val="16"/>
            </w:rPr>
          </w:pPr>
          <w:r>
            <w:rPr>
              <w:sz w:val="16"/>
            </w:rPr>
            <w:t>(Initials and Date)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20"/>
        </w:tabs>
        <w:ind w:start="420" w:hanging="360"/>
      </w:pPr>
      <w:rPr/>
    </w:lvl>
  </w:abstractNum>
  <w:abstractNum w:abstractNumId="3">
    <w:lvl w:ilvl="0">
      <w:start w:val="1"/>
      <w:numFmt w:val="lowerLetter"/>
      <w:lvlText w:val="%1."/>
      <w:lvlJc w:val="start"/>
      <w:pPr>
        <w:tabs>
          <w:tab w:val="num" w:pos="420"/>
        </w:tabs>
        <w:ind w:start="420" w:hanging="360"/>
      </w:pPr>
      <w:rPr/>
    </w:lvl>
  </w:abstractNum>
  <w:abstractNum w:abstractNumId="4">
    <w:lvl w:ilvl="0">
      <w:start w:val="1"/>
      <w:numFmt w:val="decimal"/>
      <w:lvlText w:val="%1."/>
      <w:lvlJc w:val="start"/>
      <w:pPr>
        <w:tabs>
          <w:tab w:val="num" w:pos="420"/>
        </w:tabs>
        <w:ind w:start="420" w:hanging="360"/>
      </w:pPr>
      <w:rPr/>
    </w:lvl>
  </w:abstractNum>
  <w:abstractNum w:abstractNumId="5">
    <w:lvl w:ilvl="0">
      <w:start w:val="2"/>
      <w:numFmt w:val="upperLetter"/>
      <w:lvlText w:val="%1."/>
      <w:lvlJc w:val="start"/>
      <w:pPr>
        <w:tabs>
          <w:tab w:val="num" w:pos="720"/>
        </w:tabs>
        <w:ind w:start="720" w:hanging="630"/>
      </w:pPr>
      <w:rPr/>
    </w:lvl>
  </w:abstractNum>
  <w:abstractNum w:abstractNumId="6">
    <w:lvl w:ilvl="0">
      <w:start w:val="3"/>
      <w:numFmt w:val="lowerLetter"/>
      <w:lvlText w:val="(%1)"/>
      <w:lvlJc w:val="start"/>
      <w:pPr>
        <w:tabs>
          <w:tab w:val="num" w:pos="1155"/>
        </w:tabs>
        <w:ind w:start="1155" w:hanging="390"/>
      </w:pPr>
      <w:rPr/>
    </w:lvl>
  </w:abstractNum>
  <w:abstractNum w:abstractNumId="7">
    <w:lvl w:ilvl="0">
      <w:start w:val="1"/>
      <w:numFmt w:val="upperLetter"/>
      <w:lvlText w:val="%1."/>
      <w:lvlJc w:val="start"/>
      <w:pPr>
        <w:tabs>
          <w:tab w:val="num" w:pos="720"/>
        </w:tabs>
        <w:ind w:start="720" w:hanging="6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3"/>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FF0000"/>
      <w:sz w:val="22"/>
    </w:rPr>
  </w:style>
  <w:style w:type="paragraph" w:styleId="Heading2">
    <w:name w:val="heading 2"/>
    <w:basedOn w:val="Normal"/>
    <w:next w:val="Normal"/>
    <w:qFormat/>
    <w:pPr>
      <w:keepNext w:val="true"/>
      <w:numPr>
        <w:ilvl w:val="1"/>
        <w:numId w:val="1"/>
      </w:numPr>
      <w:outlineLvl w:val="1"/>
    </w:pPr>
    <w:rPr>
      <w:b/>
      <w:color w:val="FF0000"/>
    </w:rPr>
  </w:style>
  <w:style w:type="paragraph" w:styleId="Heading3">
    <w:name w:val="heading 3"/>
    <w:basedOn w:val="Normal"/>
    <w:next w:val="Normal"/>
    <w:qFormat/>
    <w:pPr>
      <w:keepNext w:val="true"/>
      <w:numPr>
        <w:ilvl w:val="2"/>
        <w:numId w:val="1"/>
      </w:numPr>
      <w:ind w:hanging="720" w:start="720" w:end="0"/>
      <w:outlineLvl w:val="2"/>
    </w:pPr>
    <w:rPr>
      <w:b/>
      <w:sz w:val="22"/>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outlineLvl w:val="4"/>
    </w:pPr>
    <w:rPr>
      <w:b/>
      <w:color w:val="3366FF"/>
      <w:sz w:val="22"/>
    </w:rPr>
  </w:style>
  <w:style w:type="character" w:styleId="WW8Num1z0">
    <w:name w:val="WW8Num1z0"/>
    <w:qFormat/>
    <w:rPr/>
  </w:style>
  <w:style w:type="character" w:styleId="WW8Num2z0">
    <w:name w:val="WW8Num2z0"/>
    <w:qFormat/>
    <w:rPr>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sz w:val="22"/>
    </w:rPr>
  </w:style>
  <w:style w:type="paragraph" w:styleId="BodyTextIndent2">
    <w:name w:val="Body Text Indent 2"/>
    <w:basedOn w:val="Normal"/>
    <w:qFormat/>
    <w:pPr>
      <w:ind w:hanging="0" w:start="765" w:end="0"/>
    </w:pPr>
    <w:rPr/>
  </w:style>
  <w:style w:type="paragraph" w:styleId="BodyTextIndent3">
    <w:name w:val="Body Text Indent 3"/>
    <w:basedOn w:val="Normal"/>
    <w:qFormat/>
    <w:pPr>
      <w:ind w:hanging="720" w:start="720" w:end="0"/>
    </w:pPr>
    <w:rPr/>
  </w:style>
  <w:style w:type="paragraph" w:styleId="BodyText2">
    <w:name w:val="Body Text 2"/>
    <w:basedOn w:val="Normal"/>
    <w:qFormat/>
    <w:pPr/>
    <w:rPr>
      <w:b/>
      <w:color w:val="FF0000"/>
      <w:sz w:val="22"/>
    </w:rPr>
  </w:style>
  <w:style w:type="paragraph" w:styleId="BodyText3">
    <w:name w:val="Body Text 3"/>
    <w:basedOn w:val="Normal"/>
    <w:qFormat/>
    <w:pPr/>
    <w:rPr>
      <w:color w:val="0000FF"/>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2001-11-29T19:38:00Z</dcterms:created>
  <dc:creator>..</dc:creator>
  <dc:description/>
  <dc:language>en-CA</dc:language>
  <cp:lastModifiedBy>Donna Martens</cp:lastModifiedBy>
  <cp:lastPrinted>2001-07-18T14:55:00Z</cp:lastPrinted>
  <dcterms:modified xsi:type="dcterms:W3CDTF">2001-11-29T19:38:00Z</dcterms:modified>
  <cp:revision>2</cp:revision>
  <dc:subject/>
  <dc:title>CP82-401</dc:title>
</cp:coreProperties>
</file>