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0"/>
        <w:rPr>
          <w:caps w:val="false"/>
          <w:smallCaps w:val="false"/>
          <w:color w:val="FF0000"/>
          <w:spacing w:val="0"/>
        </w:rPr>
      </w:pPr>
      <w:r>
        <w:rPr>
          <w:caps w:val="false"/>
          <w:smallCaps w:val="false"/>
          <w:color w:val="FF0000"/>
          <w:spacing w:val="0"/>
        </w:rPr>
        <w:t>MATERIAL ADVERSE CHANGE ("MAC") CLAUSES</w:t>
      </w:r>
    </w:p>
    <w:p>
      <w:pPr>
        <w:pStyle w:val="Expanded"/>
        <w:spacing w:before="0" w:after="0"/>
        <w:rPr>
          <w:caps w:val="false"/>
          <w:smallCaps w:val="false"/>
          <w:color w:val="FF0000"/>
          <w:spacing w:val="0"/>
        </w:rPr>
      </w:pPr>
      <w:r>
        <w:rPr>
          <w:caps w:val="false"/>
          <w:smallCaps w:val="false"/>
          <w:color w:val="FF0000"/>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color w:val="FF0000"/>
          <w:spacing w:val="0"/>
          <w:sz w:val="22"/>
          <w:szCs w:val="22"/>
          <w:u w:val="single"/>
        </w:rPr>
      </w:pPr>
      <w:r>
        <w:rPr>
          <w:caps/>
          <w:color w:val="FF0000"/>
          <w:spacing w:val="0"/>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olor w:val="FF0000"/>
          <w:sz w:val="22"/>
          <w:szCs w:val="22"/>
          <w:u w:val="single"/>
        </w:rPr>
      </w:pPr>
      <w:r>
        <w:rPr>
          <w:color w:val="FF0000"/>
          <w:sz w:val="22"/>
          <w:szCs w:val="22"/>
          <w:u w:val="single"/>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AND COUNTERPARTY (“Party B”) (CREDIT RATINGS)</w:t>
      </w:r>
      <w:r>
        <w:rPr>
          <w:b/>
          <w:bCs/>
          <w:color w:val="FF000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color w:val="FF0000"/>
          <w:sz w:val="22"/>
          <w:szCs w:val="22"/>
          <w:u w:val="single"/>
        </w:rPr>
      </w:pPr>
      <w:r>
        <w:rPr>
          <w:b/>
          <w:bCs/>
          <w:color w:val="FF0000"/>
          <w:sz w:val="22"/>
          <w:szCs w:val="22"/>
          <w:u w:val="single"/>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w:t>
      </w:r>
      <w:r>
        <w:rPr>
          <w:color w:val="FF0000"/>
          <w:sz w:val="22"/>
          <w:szCs w:val="22"/>
        </w:rPr>
        <w:t>[</w:t>
      </w:r>
      <w:r>
        <w:rPr>
          <w:sz w:val="22"/>
          <w:szCs w:val="22"/>
        </w:rPr>
        <w:t>Enron Corp.</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 xml:space="preserve">; or (b)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(CREDIT RATING) AND COUNTERPARTY (“Party B”) (NON-SPECIFIC MAC)</w:t>
      </w:r>
      <w:r>
        <w:rPr>
          <w:b/>
          <w:bCs/>
          <w:color w:val="FF0000"/>
          <w:sz w:val="22"/>
          <w:szCs w:val="22"/>
        </w:rPr>
        <w:t>]:</w:t>
      </w:r>
    </w:p>
    <w:p>
      <w:pPr>
        <w:pStyle w:val="Justified"/>
        <w:spacing w:before="0" w:after="0"/>
        <w:rPr>
          <w:rFonts w:ascii="Times New Roman" w:hAnsi="Times New Roman" w:cs="Times New Roman"/>
          <w:b/>
          <w:bCs/>
          <w:color w:val="FF0000"/>
          <w:sz w:val="22"/>
          <w:szCs w:val="22"/>
          <w:u w:val="single"/>
        </w:rPr>
      </w:pPr>
      <w:r>
        <w:rPr>
          <w:rFonts w:cs="Times New Roman" w:ascii="Times New Roman" w:hAnsi="Times New Roman"/>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 </w:t>
      </w:r>
      <w:r>
        <w:rPr>
          <w:color w:val="FF0000"/>
          <w:sz w:val="22"/>
          <w:szCs w:val="22"/>
        </w:rPr>
        <w:t>[</w:t>
      </w:r>
      <w:r>
        <w:rPr>
          <w:sz w:val="22"/>
          <w:szCs w:val="22"/>
        </w:rPr>
        <w:t>or below “Baa3” by Moody’s</w:t>
      </w:r>
      <w:r>
        <w:rPr>
          <w:color w:val="FF0000"/>
          <w:sz w:val="22"/>
          <w:szCs w:val="22"/>
        </w:rPr>
        <w:t>]</w:t>
      </w:r>
      <w:r>
        <w:rPr>
          <w:sz w:val="22"/>
          <w:szCs w:val="22"/>
        </w:rPr>
        <w:t xml:space="preserve">; or (b) with respect to Party B, in the reasonable opinion of Party A, a material adverse change has occurred in the business, financial condition or operations of Party B </w:t>
      </w:r>
      <w:r>
        <w:rPr>
          <w:color w:val="FF0000"/>
          <w:sz w:val="22"/>
          <w:szCs w:val="22"/>
        </w:rPr>
        <w:t>[</w:t>
      </w:r>
      <w:r>
        <w:rPr>
          <w:sz w:val="22"/>
          <w:szCs w:val="22"/>
        </w:rPr>
        <w:t>or its Credit Support Provider</w:t>
      </w:r>
      <w:r>
        <w:rPr>
          <w:color w:val="FF0000"/>
          <w:sz w:val="22"/>
          <w:szCs w:val="22"/>
        </w:rPr>
        <w:t>]</w:t>
      </w:r>
      <w:r>
        <w:rPr>
          <w:sz w:val="22"/>
          <w:szCs w:val="22"/>
        </w:rPr>
        <w:t>.</w:t>
      </w:r>
    </w:p>
    <w:p>
      <w:pPr>
        <w:pStyle w:val="Normal"/>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ONLY COUNTERPARTY (“Party B”) (NON-SPECIFIC MAC)</w:t>
      </w:r>
      <w:r>
        <w:rPr>
          <w:b/>
          <w:bCs/>
          <w:color w:val="FF0000"/>
          <w:sz w:val="22"/>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bCs/>
          <w:color w:val="FF0000"/>
          <w:sz w:val="22"/>
          <w:szCs w:val="22"/>
          <w:u w:val="single"/>
        </w:rPr>
      </w:pPr>
      <w:r>
        <w:rPr>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in the reasonable opinion of Party A, a material adverse change has occurred in the business, financial condition or operations of Party B</w:t>
      </w:r>
      <w:r>
        <w:rPr>
          <w:color w:val="FF0000"/>
          <w:sz w:val="22"/>
          <w:szCs w:val="22"/>
        </w:rPr>
        <w:t xml:space="preserve"> [</w:t>
      </w:r>
      <w:r>
        <w:rPr>
          <w:sz w:val="22"/>
          <w:szCs w:val="22"/>
        </w:rPr>
        <w:t>or its Credit Support Provider</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pPr>
      <w:r>
        <w:rPr>
          <w:b/>
          <w:bCs/>
          <w:color w:val="FF0000"/>
          <w:sz w:val="22"/>
          <w:szCs w:val="22"/>
        </w:rPr>
        <w:t>[</w:t>
      </w:r>
      <w:r>
        <w:rPr>
          <w:b/>
          <w:bCs/>
          <w:color w:val="FF0000"/>
          <w:sz w:val="22"/>
          <w:szCs w:val="22"/>
          <w:u w:val="single"/>
        </w:rPr>
        <w:t>INSERT IF MAC IS TO BE APPLICABLE TO ONLY COUNTERPARTY (“Party B”) (CREDIT RATING)</w:t>
      </w:r>
      <w:r>
        <w:rPr>
          <w:b/>
          <w:bCs/>
          <w:color w:val="FF0000"/>
          <w:sz w:val="22"/>
          <w:szCs w:val="22"/>
        </w:rPr>
        <w:t>]:</w:t>
      </w:r>
    </w:p>
    <w:p>
      <w:pPr>
        <w:pStyle w:val="Normal"/>
        <w:spacing w:lineRule="atLeast" w:line="240"/>
        <w:jc w:val="both"/>
        <w:rPr>
          <w:b/>
          <w:bCs/>
          <w:color w:val="FF0000"/>
          <w:sz w:val="22"/>
          <w:szCs w:val="22"/>
        </w:rPr>
      </w:pPr>
      <w:r>
        <w:rPr>
          <w:b/>
          <w:bCs/>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color w:val="FF0000"/>
          <w:sz w:val="22"/>
          <w:szCs w:val="22"/>
        </w:rPr>
      </w:pPr>
      <w:r>
        <w:rPr>
          <w:b/>
          <w:bCs/>
          <w:color w:val="FF0000"/>
          <w:sz w:val="22"/>
          <w:szCs w:val="22"/>
          <w:u w:val="single"/>
        </w:rPr>
        <w:t>[INSERT IF MAC CONTAINS FINANCIAL COVENANTS FOR COUNTERPARTY (“Party B”) AND CREDIT RATING FOR ENA’S GUARANTOR (“Party A”)]</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(b) with respect to Party B, </w:t>
      </w:r>
      <w:r>
        <w:rPr>
          <w:color w:val="FF0000"/>
          <w:sz w:val="22"/>
          <w:szCs w:val="22"/>
        </w:rPr>
        <w:t>[</w:t>
      </w:r>
      <w:r>
        <w:rPr>
          <w:sz w:val="22"/>
          <w:szCs w:val="22"/>
        </w:rPr>
        <w:t>it</w:t>
      </w:r>
      <w:r>
        <w:rPr>
          <w:color w:val="FF0000"/>
          <w:sz w:val="22"/>
          <w:szCs w:val="22"/>
        </w:rPr>
        <w:t>] [</w:t>
      </w:r>
      <w:r>
        <w:rPr>
          <w:sz w:val="22"/>
          <w:szCs w:val="22"/>
        </w:rPr>
        <w:t>its Credit Support Provider</w:t>
      </w:r>
      <w:r>
        <w:rPr>
          <w:color w:val="FF0000"/>
          <w:sz w:val="22"/>
          <w:szCs w:val="22"/>
        </w:rPr>
        <w:t>]</w:t>
      </w:r>
      <w:r>
        <w:rPr>
          <w:sz w:val="22"/>
          <w:szCs w:val="22"/>
        </w:rPr>
        <w:t xml:space="preserve"> shall have any of the following occur at any time: </w:t>
      </w:r>
      <w:r>
        <w:rPr>
          <w:color w:val="FF0000"/>
          <w:sz w:val="22"/>
          <w:szCs w:val="22"/>
        </w:rPr>
        <w:t xml:space="preserve"> [</w:t>
      </w:r>
      <w:r>
        <w:rPr>
          <w:sz w:val="22"/>
          <w:szCs w:val="22"/>
        </w:rPr>
        <w:t xml:space="preserve">(i) the ratio of its </w:t>
      </w:r>
      <w:r>
        <w:rPr>
          <w:color w:val="FF0000"/>
          <w:sz w:val="22"/>
          <w:szCs w:val="22"/>
        </w:rPr>
        <w:t>[</w:t>
      </w:r>
      <w:r>
        <w:rPr>
          <w:sz w:val="22"/>
          <w:szCs w:val="22"/>
        </w:rPr>
        <w:t>Funded Debt</w:t>
      </w:r>
      <w:r>
        <w:rPr>
          <w:color w:val="FF0000"/>
          <w:sz w:val="22"/>
          <w:szCs w:val="22"/>
        </w:rPr>
        <w:t>][</w:t>
      </w:r>
      <w:r>
        <w:rPr>
          <w:sz w:val="22"/>
          <w:szCs w:val="22"/>
        </w:rPr>
        <w:t>Total Debt</w:t>
      </w:r>
      <w:r>
        <w:rPr>
          <w:color w:val="FF0000"/>
          <w:sz w:val="22"/>
          <w:szCs w:val="22"/>
        </w:rPr>
        <w:t>]</w:t>
      </w:r>
      <w:r>
        <w:rPr>
          <w:sz w:val="22"/>
          <w:szCs w:val="22"/>
        </w:rPr>
        <w:t xml:space="preserve"> to Net Worth is more than _____ to _____, or (ii) its Net Worth falls below </w:t>
      </w:r>
      <w:r>
        <w:rPr>
          <w:color w:val="FF0000"/>
          <w:sz w:val="22"/>
          <w:szCs w:val="22"/>
        </w:rPr>
        <w:t>[</w:t>
      </w:r>
      <w:r>
        <w:rPr>
          <w:sz w:val="22"/>
          <w:szCs w:val="22"/>
        </w:rPr>
        <w:t>U.S.</w:t>
      </w:r>
      <w:r>
        <w:rPr>
          <w:color w:val="FF0000"/>
          <w:sz w:val="22"/>
          <w:szCs w:val="22"/>
        </w:rPr>
        <w:t>]</w:t>
      </w:r>
      <w:r>
        <w:rPr>
          <w:sz w:val="22"/>
          <w:szCs w:val="22"/>
        </w:rPr>
        <w:t xml:space="preserve"> $</w:t>
      </w:r>
      <w:r>
        <w:rPr>
          <w:sz w:val="22"/>
          <w:szCs w:val="22"/>
          <w:u w:val="single"/>
        </w:rPr>
        <w:tab/>
        <w:tab/>
      </w:r>
      <w:r>
        <w:rPr>
          <w:sz w:val="22"/>
          <w:szCs w:val="22"/>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22"/>
        </w:rPr>
        <w:t>[</w:t>
      </w:r>
      <w:r>
        <w:rPr>
          <w:sz w:val="22"/>
          <w:szCs w:val="22"/>
        </w:rPr>
        <w:t>INSERT OTHER APPROPRIATE FINANCIAL COVENANTS</w:t>
      </w:r>
      <w:r>
        <w:rPr>
          <w:color w:val="FF0000"/>
          <w:sz w:val="22"/>
          <w:szCs w:val="22"/>
        </w:rPr>
        <w:t>]</w:t>
      </w:r>
      <w:r>
        <w:rPr>
          <w:sz w:val="22"/>
          <w:szCs w:val="22"/>
        </w:rPr>
        <w:t>.</w:t>
      </w:r>
    </w:p>
    <w:p>
      <w:pPr>
        <w:pStyle w:val="Justified"/>
        <w:spacing w:lineRule="atLeas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center"/>
        <w:rPr>
          <w:color w:val="FF0000"/>
          <w:sz w:val="22"/>
          <w:szCs w:val="22"/>
        </w:rPr>
      </w:pPr>
      <w:r>
        <w:rPr>
          <w:b/>
          <w:bCs/>
          <w:color w:val="FF0000"/>
          <w:sz w:val="22"/>
          <w:szCs w:val="22"/>
        </w:rPr>
        <w:t>[</w:t>
      </w:r>
      <w:r>
        <w:rPr>
          <w:b/>
          <w:bCs/>
          <w:color w:val="FF0000"/>
          <w:sz w:val="22"/>
          <w:szCs w:val="22"/>
          <w:u w:val="single"/>
        </w:rPr>
        <w:t>DEFINITIONS TO BE INSERTED AS APPROPRIATE</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ind w:start="720" w:end="0"/>
        <w:jc w:val="both"/>
        <w:rPr/>
      </w:pPr>
      <w:r>
        <w:rPr>
          <w:b/>
          <w:bCs/>
          <w:sz w:val="22"/>
          <w:szCs w:val="22"/>
        </w:rPr>
        <w:t>“</w:t>
      </w:r>
      <w:r>
        <w:rPr>
          <w:b/>
          <w:bCs/>
          <w:sz w:val="22"/>
          <w:szCs w:val="22"/>
        </w:rPr>
        <w:t>Cash”</w:t>
      </w:r>
      <w:r>
        <w:rPr>
          <w:sz w:val="22"/>
          <w:szCs w:val="22"/>
        </w:rPr>
        <w:t xml:space="preserve"> means all amounts that would be reflected as such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prepared in accordance with GAAP.</w:t>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b/>
          <w:bCs/>
          <w:sz w:val="22"/>
          <w:szCs w:val="22"/>
        </w:rPr>
      </w:pPr>
      <w:r>
        <w:rPr>
          <w:b/>
          <w:bCs/>
          <w:sz w:val="22"/>
          <w:szCs w:val="22"/>
        </w:rPr>
      </w:r>
    </w:p>
    <w:p>
      <w:pPr>
        <w:pStyle w:val="Normal"/>
        <w:spacing w:lineRule="atLeast" w:line="240"/>
        <w:ind w:start="720" w:end="0"/>
        <w:jc w:val="both"/>
        <w:rPr/>
      </w:pPr>
      <w:r>
        <w:rPr>
          <w:b/>
          <w:bCs/>
          <w:sz w:val="22"/>
          <w:szCs w:val="22"/>
        </w:rPr>
        <w:t>“</w:t>
      </w:r>
      <w:r>
        <w:rPr>
          <w:b/>
          <w:bCs/>
          <w:sz w:val="22"/>
          <w:szCs w:val="22"/>
        </w:rPr>
        <w:t>Cash Flow”</w:t>
      </w:r>
      <w:r>
        <w:rPr>
          <w:sz w:val="22"/>
          <w:szCs w:val="22"/>
        </w:rPr>
        <w:t xml:space="preserve"> means Net Income plus depreciation and non-cash charges from the consolidated income statement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Current Maturities of Long Term Debt”</w:t>
      </w:r>
      <w:r>
        <w:rPr>
          <w:i/>
          <w:iCs/>
          <w:sz w:val="22"/>
          <w:szCs w:val="22"/>
        </w:rPr>
        <w:t xml:space="preserve"> </w:t>
      </w:r>
      <w:r>
        <w:rPr>
          <w:sz w:val="22"/>
          <w:szCs w:val="22"/>
        </w:rPr>
        <w:t xml:space="preserve">means payments required by third party lenders on consolidated long term debt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within the next twelve (12) calendar months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DBRS”</w:t>
      </w:r>
      <w:r>
        <w:rPr>
          <w:sz w:val="22"/>
          <w:szCs w:val="22"/>
        </w:rPr>
        <w:t xml:space="preserve"> means Dominion Bond Rating Service Limited, or its successor.</w:t>
      </w:r>
    </w:p>
    <w:p>
      <w:pPr>
        <w:pStyle w:val="Normal"/>
        <w:spacing w:lineRule="atLeast" w:line="240"/>
        <w:jc w:val="both"/>
        <w:rPr>
          <w:sz w:val="22"/>
          <w:szCs w:val="22"/>
        </w:rPr>
      </w:pPr>
      <w:r>
        <w:rPr>
          <w:sz w:val="22"/>
          <w:szCs w:val="22"/>
        </w:rPr>
      </w:r>
    </w:p>
    <w:p>
      <w:pPr>
        <w:pStyle w:val="Normal"/>
        <w:spacing w:lineRule="atLeast" w:line="240"/>
        <w:jc w:val="both"/>
        <w:rPr>
          <w:b/>
          <w:bCs/>
          <w:color w:val="FF0000"/>
          <w:sz w:val="22"/>
          <w:szCs w:val="22"/>
        </w:rPr>
      </w:pPr>
      <w:r>
        <w:rPr>
          <w:b/>
          <w:bCs/>
          <w:color w:val="FF0000"/>
          <w:sz w:val="22"/>
          <w:szCs w:val="22"/>
        </w:rPr>
        <w:t>[EBIDTA LANGUAGE - INSERT ALL THE DEFINITIONS BELOW:</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r>
        <w:rPr>
          <w:b/>
          <w:bCs/>
          <w:color w:val="FF0000"/>
          <w:sz w:val="22"/>
          <w:szCs w:val="22"/>
        </w:rPr>
        <w:t>]</w:t>
      </w:r>
    </w:p>
    <w:p>
      <w:pPr>
        <w:pStyle w:val="Normal"/>
        <w:jc w:val="both"/>
        <w:rPr>
          <w:color w:val="FF0000"/>
          <w:sz w:val="22"/>
          <w:szCs w:val="22"/>
        </w:rPr>
      </w:pPr>
      <w:r>
        <w:rPr>
          <w:color w:val="FF0000"/>
          <w:sz w:val="22"/>
          <w:szCs w:val="22"/>
        </w:rPr>
      </w:r>
    </w:p>
    <w:p>
      <w:pPr>
        <w:pStyle w:val="Normal"/>
        <w:spacing w:lineRule="atLeast" w:line="240"/>
        <w:jc w:val="both"/>
        <w:rPr>
          <w:b/>
          <w:bCs/>
          <w:color w:val="FF0000"/>
          <w:sz w:val="22"/>
          <w:szCs w:val="22"/>
        </w:rPr>
      </w:pPr>
      <w:r>
        <w:rPr>
          <w:b/>
          <w:bCs/>
          <w:color w:val="FF0000"/>
          <w:sz w:val="22"/>
          <w:szCs w:val="22"/>
        </w:rPr>
        <w:t>[EBIT LANGUAGE - INSERT THE FOLLOWING DEFINITIONS:</w:t>
      </w:r>
    </w:p>
    <w:p>
      <w:pPr>
        <w:pStyle w:val="Normal"/>
        <w:spacing w:lineRule="atLeast" w:line="240"/>
        <w:jc w:val="both"/>
        <w:rPr>
          <w:b/>
          <w:bCs/>
          <w:color w:val="FF0000"/>
          <w:sz w:val="22"/>
          <w:szCs w:val="22"/>
        </w:rPr>
      </w:pPr>
      <w:r>
        <w:rPr>
          <w:b/>
          <w:bCs/>
          <w:color w:val="FF0000"/>
          <w:sz w:val="22"/>
          <w:szCs w:val="22"/>
        </w:rPr>
      </w:r>
    </w:p>
    <w:p>
      <w:pPr>
        <w:pStyle w:val="BodyText"/>
        <w:ind w:start="720" w:end="0"/>
        <w:jc w:val="both"/>
        <w:rPr/>
      </w:pPr>
      <w:r>
        <w:rPr>
          <w:b/>
          <w:bCs/>
        </w:rPr>
        <w:t>“</w:t>
      </w:r>
      <w:r>
        <w:rPr>
          <w:b/>
          <w:bCs/>
        </w:rPr>
        <w:t>EBIT”</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all amounts (to the extent not classified as depreciation, depletion or amortization expense) attributable to other (a) non-cash operating charges and (b) non-cash non-operating charges for such period, and (iv)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rPr/>
      </w:pPr>
      <w:r>
        <w:rPr>
          <w:b/>
          <w:bCs/>
          <w:sz w:val="22"/>
        </w:rPr>
        <w:t xml:space="preserve"> </w:t>
      </w:r>
      <w:r>
        <w:rPr>
          <w:sz w:val="22"/>
        </w:rPr>
        <w:t xml:space="preserve"> </w:t>
      </w:r>
    </w:p>
    <w:p>
      <w:pPr>
        <w:pStyle w:val="Normal"/>
        <w:spacing w:lineRule="exact" w:line="240" w:before="240" w:after="0"/>
        <w:ind w:start="720" w:end="0"/>
        <w:jc w:val="both"/>
        <w:rPr/>
      </w:pPr>
      <w:r>
        <w:rPr>
          <w:b/>
          <w:bCs/>
          <w:sz w:val="22"/>
          <w:szCs w:val="22"/>
        </w:rPr>
        <w:t>“</w:t>
      </w:r>
      <w:r>
        <w:rPr>
          <w:b/>
          <w:bCs/>
          <w:sz w:val="22"/>
        </w:rPr>
        <w:t>EBIT Coverage Ratio</w:t>
      </w:r>
      <w:r>
        <w:rPr>
          <w:b/>
          <w:bCs/>
          <w:sz w:val="22"/>
          <w:szCs w:val="22"/>
        </w:rPr>
        <w:t>”</w:t>
      </w:r>
      <w:r>
        <w:rPr>
          <w:sz w:val="22"/>
          <w:szCs w:val="22"/>
        </w:rPr>
        <w:t xml:space="preserve"> means, with respect to any period, the ratio of (i) EBIT for such period to (ii) the aggregate amount of Interest Expense for such period.</w:t>
      </w:r>
    </w:p>
    <w:p>
      <w:pPr>
        <w:pStyle w:val="Normal"/>
        <w:keepNext w:val="true"/>
        <w:spacing w:lineRule="exact" w:line="240" w:before="240" w:after="0"/>
        <w:ind w:start="720" w:end="0"/>
        <w:jc w:val="both"/>
        <w:rPr>
          <w:b/>
          <w:bCs/>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w:t>
      </w:r>
      <w:r>
        <w:rPr>
          <w:color w:val="FF0000"/>
          <w:sz w:val="22"/>
          <w:szCs w:val="22"/>
        </w:rPr>
        <w:t>[</w:t>
      </w:r>
      <w:r>
        <w:rPr>
          <w:sz w:val="22"/>
          <w:szCs w:val="22"/>
        </w:rPr>
        <w:t>Party B’s Credit Support Provider</w:t>
      </w:r>
      <w:r>
        <w:rPr>
          <w:color w:val="FF0000"/>
          <w:sz w:val="22"/>
          <w:szCs w:val="22"/>
        </w:rPr>
        <w:t xml:space="preserve">] </w:t>
      </w:r>
      <w:r>
        <w:rPr>
          <w:sz w:val="22"/>
          <w:szCs w:val="22"/>
        </w:rPr>
        <w:t>under any guarantee of indebtedness or other obligations of any other person.</w:t>
      </w:r>
      <w:r>
        <w:rPr>
          <w:b/>
          <w:bCs/>
          <w:color w:val="FF0000"/>
          <w:sz w:val="22"/>
          <w:szCs w:val="22"/>
        </w:rPr>
        <w:t>]</w:t>
      </w:r>
    </w:p>
    <w:p>
      <w:pPr>
        <w:pStyle w:val="Normal"/>
        <w:ind w:start="360" w:end="0"/>
        <w:jc w:val="both"/>
        <w:rPr>
          <w:rFonts w:ascii="Arial Narrow" w:hAnsi="Arial Narrow" w:cs="Arial Narrow"/>
          <w:b/>
          <w:bCs/>
          <w:i/>
          <w:i/>
          <w:sz w:val="18"/>
          <w:szCs w:val="22"/>
        </w:rPr>
      </w:pPr>
      <w:r>
        <w:rPr>
          <w:rFonts w:cs="Arial Narrow" w:ascii="Arial Narrow" w:hAnsi="Arial Narrow"/>
          <w:b/>
          <w:bCs/>
          <w:i/>
          <w:sz w:val="18"/>
          <w:szCs w:val="22"/>
        </w:rPr>
      </w:r>
    </w:p>
    <w:p>
      <w:pPr>
        <w:pStyle w:val="Heading4"/>
        <w:ind w:hanging="1440" w:start="1440" w:end="0"/>
        <w:rPr/>
      </w:pPr>
      <w:r>
        <w:rPr/>
        <w:t>NOTE:</w:t>
        <w:tab/>
        <w:t>For EBIDTA or EBIT, in addition to the definitions above, add our standard definition for “Net Income”</w:t>
      </w:r>
    </w:p>
    <w:p>
      <w:pPr>
        <w:pStyle w:val="Normal"/>
        <w:spacing w:lineRule="atLeast" w:line="240"/>
        <w:jc w:val="both"/>
        <w:rPr>
          <w:b/>
          <w:bCs/>
          <w:color w:val="FF0000"/>
          <w:sz w:val="22"/>
          <w:szCs w:val="22"/>
        </w:rPr>
      </w:pPr>
      <w:r>
        <w:rPr>
          <w:b/>
          <w:bCs/>
          <w:color w:val="FF0000"/>
          <w:sz w:val="22"/>
          <w:szCs w:val="22"/>
        </w:rPr>
        <w:t xml:space="preserve">  </w:t>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Goodwill”</w:t>
      </w:r>
      <w:r>
        <w:rPr>
          <w:sz w:val="22"/>
          <w:szCs w:val="22"/>
        </w:rPr>
        <w:t xml:space="preserve"> means the residual of purchase price over the fair market value of all specific assets net of specific liabilities.  </w:t>
      </w:r>
      <w:r>
        <w:rPr>
          <w:color w:val="FF0000"/>
          <w:sz w:val="22"/>
          <w:szCs w:val="22"/>
        </w:rPr>
        <w:t>[</w:t>
      </w:r>
      <w:r>
        <w:rPr>
          <w:i/>
          <w:iCs/>
          <w:color w:val="FF0000"/>
          <w:sz w:val="22"/>
          <w:szCs w:val="22"/>
        </w:rPr>
        <w:t>Note:  when you use “Goodwill”, in the definition of “Net Worth” you need to change “(exclusive of intangible assets")” to “(exclusive of Goodwill</w:t>
      </w:r>
      <w:r>
        <w:rPr>
          <w:color w:val="FF0000"/>
          <w:sz w:val="22"/>
          <w:szCs w:val="22"/>
        </w:rPr>
        <w:t>)”]</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(exclusive of intangible assets), minus the consolidated total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each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PV15 of PDP”</w:t>
      </w:r>
      <w:r>
        <w:rPr>
          <w:i/>
          <w:iCs/>
          <w:sz w:val="22"/>
          <w:szCs w:val="22"/>
        </w:rPr>
        <w:t xml:space="preserve"> </w:t>
      </w:r>
      <w:r>
        <w:rPr>
          <w:sz w:val="22"/>
          <w:szCs w:val="22"/>
        </w:rPr>
        <w:t xml:space="preserve">shall mean the present value worth before income taxes discounted at a rate of 15% of Party B’s proved developed producing reserves as indicated in the most recent Engineering Report furnished to Party A. </w:t>
      </w:r>
    </w:p>
    <w:p>
      <w:pPr>
        <w:pStyle w:val="Normal"/>
        <w:spacing w:lineRule="atLeast" w:line="240"/>
        <w:ind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Header"/>
        <w:ind w:start="720" w:end="0"/>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w:t>
      </w:r>
    </w:p>
    <w:p>
      <w:pPr>
        <w:pStyle w:val="Normal"/>
        <w:rPr>
          <w:sz w:val="22"/>
          <w:szCs w:val="22"/>
        </w:rPr>
      </w:pPr>
      <w:r>
        <w:rPr>
          <w:sz w:val="22"/>
          <w:szCs w:val="22"/>
        </w:rPr>
      </w:r>
    </w:p>
    <w:p>
      <w:pPr>
        <w:pStyle w:val="Heading1"/>
        <w:ind w:hanging="0" w:start="0"/>
        <w:rPr/>
      </w:pPr>
      <w:r>
        <w:rPr/>
        <w:t>Additional Event of Default for Change in Ownership</w:t>
      </w:r>
    </w:p>
    <w:p>
      <w:pPr>
        <w:pStyle w:val="Header"/>
        <w:rPr/>
      </w:pPr>
      <w:r>
        <w:rPr/>
      </w:r>
    </w:p>
    <w:p>
      <w:pPr>
        <w:pStyle w:val="Normal"/>
        <w:spacing w:lineRule="atLeast" w:line="240"/>
        <w:ind w:start="720" w:end="0"/>
        <w:jc w:val="both"/>
        <w:rPr/>
      </w:pPr>
      <w:r>
        <w:rPr>
          <w:sz w:val="22"/>
        </w:rPr>
        <w:t>(__)</w:t>
        <w:tab/>
        <w:t>in the case of Party B, if _____________ ceases to own directly or indirectly, fifty-one percent (51%) or more of the outstanding capital stock or other equity interests</w:t>
      </w:r>
      <w:r>
        <w:rPr/>
        <w:t xml:space="preserve"> of Party B having ordinary voting power.</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szCs w:val="20"/>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bCs/>
      <w:caps/>
      <w:spacing w:val="60"/>
      <w:sz w:val="22"/>
      <w:szCs w:val="22"/>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2001-02-27T19:23:00Z</dcterms:created>
  <dc:creator>tjones</dc:creator>
  <dc:description/>
  <dc:language>en-CA</dc:language>
  <cp:lastModifiedBy>tjones</cp:lastModifiedBy>
  <dcterms:modified xsi:type="dcterms:W3CDTF">2001-02-27T19:25:00Z</dcterms:modified>
  <cp:revision>2</cp:revision>
  <dc:subject/>
  <dc:title>MATERIAL ADVERSE CHANGE ("MAC") CLAUSES</dc:title>
</cp:coreProperties>
</file>