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Master Netting Issue List</w:t>
      </w:r>
    </w:p>
    <w:p>
      <w:pPr>
        <w:pStyle w:val="Normal"/>
        <w:jc w:val="center"/>
        <w:rPr>
          <w:b/>
          <w:bCs/>
        </w:rPr>
      </w:pPr>
      <w:r>
        <w:rPr>
          <w:b/>
          <w:bCs/>
        </w:rPr>
      </w:r>
    </w:p>
    <w:p>
      <w:pPr>
        <w:pStyle w:val="Normal"/>
        <w:jc w:val="both"/>
        <w:rPr>
          <w:b/>
          <w:bCs/>
        </w:rPr>
      </w:pPr>
      <w:r>
        <w:rPr>
          <w:b/>
          <w:bCs/>
        </w:rPr>
        <w:t>1.  Validity of Cross-Product Netting under Bankruptcy Code</w:t>
      </w:r>
    </w:p>
    <w:p>
      <w:pPr>
        <w:pStyle w:val="Normal"/>
        <w:jc w:val="both"/>
        <w:rPr/>
      </w:pPr>
      <w:r>
        <w:rPr/>
        <w:t>a.  not expressly authorized, not expressly prohibited</w:t>
      </w:r>
    </w:p>
    <w:p>
      <w:pPr>
        <w:pStyle w:val="Normal"/>
        <w:jc w:val="both"/>
        <w:rPr/>
      </w:pPr>
      <w:r>
        <w:rPr/>
        <w:t>b.  firms with varying opinions</w:t>
      </w:r>
    </w:p>
    <w:p>
      <w:pPr>
        <w:pStyle w:val="Normal"/>
        <w:jc w:val="both"/>
        <w:rPr/>
      </w:pPr>
      <w:r>
        <w:rPr/>
        <w:t>c.  status of reform legislation</w:t>
      </w:r>
    </w:p>
    <w:p>
      <w:pPr>
        <w:pStyle w:val="Normal"/>
        <w:jc w:val="both"/>
        <w:rPr/>
      </w:pPr>
      <w:r>
        <w:rPr/>
      </w:r>
    </w:p>
    <w:p>
      <w:pPr>
        <w:pStyle w:val="Normal"/>
        <w:jc w:val="both"/>
        <w:rPr>
          <w:b/>
          <w:bCs/>
        </w:rPr>
      </w:pPr>
      <w:r>
        <w:rPr>
          <w:b/>
          <w:bCs/>
        </w:rPr>
        <w:t xml:space="preserve">2.  Validity of "square" setoff </w:t>
      </w:r>
    </w:p>
    <w:p>
      <w:pPr>
        <w:pStyle w:val="Normal"/>
        <w:jc w:val="both"/>
        <w:rPr/>
      </w:pPr>
      <w:r>
        <w:rPr/>
        <w:t>a.  line of cases supporting "triangular" setoff, where formal agreement signed by all parties; substitute for mutuality; firms with varying opinions</w:t>
      </w:r>
    </w:p>
    <w:p>
      <w:pPr>
        <w:pStyle w:val="Normal"/>
        <w:jc w:val="both"/>
        <w:rPr/>
      </w:pPr>
      <w:r>
        <w:rPr/>
        <w:t>c.  consideration;  firms with varying opinions, but enterprise value as a whole should support</w:t>
      </w:r>
    </w:p>
    <w:p>
      <w:pPr>
        <w:pStyle w:val="Normal"/>
        <w:jc w:val="both"/>
        <w:rPr/>
      </w:pPr>
      <w:r>
        <w:rPr/>
        <w:t>d.  Canada firm desires "aggregate liability" approach (wherein each party in each group is directly liable for the entire amount due by each other of its affiliates to each relevant party in the other group) vs. simple setoff language (approach favored by CWT); the aggregate liability approach presents insolvency and accounting issues</w:t>
      </w:r>
    </w:p>
    <w:p>
      <w:pPr>
        <w:pStyle w:val="Normal"/>
        <w:jc w:val="both"/>
        <w:rPr/>
      </w:pPr>
      <w:r>
        <w:rPr/>
      </w:r>
    </w:p>
    <w:p>
      <w:pPr>
        <w:pStyle w:val="Normal"/>
        <w:jc w:val="both"/>
        <w:rPr>
          <w:b/>
          <w:bCs/>
        </w:rPr>
      </w:pPr>
      <w:r>
        <w:rPr>
          <w:b/>
          <w:bCs/>
        </w:rPr>
        <w:t>3.  Enter into Master Netting Agreement with Aggregate Margining</w:t>
      </w:r>
    </w:p>
    <w:p>
      <w:pPr>
        <w:pStyle w:val="Normal"/>
        <w:jc w:val="both"/>
        <w:rPr/>
      </w:pPr>
      <w:r>
        <w:rPr/>
        <w:t>a.  Bradford goal regarding liquidity</w:t>
      </w:r>
    </w:p>
    <w:p>
      <w:pPr>
        <w:pStyle w:val="Normal"/>
        <w:jc w:val="both"/>
        <w:rPr/>
      </w:pPr>
      <w:r>
        <w:rPr/>
        <w:t xml:space="preserve">b.  effect of current Enron events; may assist Enron position if downgraded </w:t>
      </w:r>
    </w:p>
    <w:p>
      <w:pPr>
        <w:pStyle w:val="Normal"/>
        <w:jc w:val="both"/>
        <w:rPr/>
      </w:pPr>
      <w:r>
        <w:rPr/>
        <w:t>c.  risk of being under collateralized if master netting arrangement does not work</w:t>
      </w:r>
    </w:p>
    <w:p>
      <w:pPr>
        <w:pStyle w:val="Normal"/>
        <w:jc w:val="both"/>
        <w:rPr/>
      </w:pPr>
      <w:r>
        <w:rPr/>
        <w:tab/>
        <w:t>i.  Bradford monitor this risk</w:t>
      </w:r>
    </w:p>
    <w:p>
      <w:pPr>
        <w:pStyle w:val="Normal"/>
        <w:jc w:val="both"/>
        <w:rPr/>
      </w:pPr>
      <w:r>
        <w:rPr/>
      </w:r>
    </w:p>
    <w:p>
      <w:pPr>
        <w:pStyle w:val="Normal"/>
        <w:jc w:val="both"/>
        <w:rPr>
          <w:b/>
          <w:bCs/>
        </w:rPr>
      </w:pPr>
      <w:r>
        <w:rPr>
          <w:b/>
          <w:bCs/>
        </w:rPr>
        <w:t>4.  Enter into Master Netting Agreement without Aggregate Margining</w:t>
      </w:r>
    </w:p>
    <w:p>
      <w:pPr>
        <w:pStyle w:val="Normal"/>
        <w:jc w:val="both"/>
        <w:rPr/>
      </w:pPr>
      <w:r>
        <w:rPr/>
        <w:t>a.  does not meet Bradford liquidity goal</w:t>
      </w:r>
    </w:p>
    <w:p>
      <w:pPr>
        <w:pStyle w:val="Normal"/>
        <w:jc w:val="both"/>
        <w:rPr/>
      </w:pPr>
      <w:r>
        <w:rPr/>
        <w:t>b.  no risk of under collateralization caused by master netting</w:t>
      </w:r>
    </w:p>
    <w:p>
      <w:pPr>
        <w:pStyle w:val="Normal"/>
        <w:jc w:val="both"/>
        <w:rPr/>
      </w:pPr>
      <w:r>
        <w:rPr/>
        <w:t xml:space="preserve">c.  provides position improvement on the basis of cross default and netting termination payments </w:t>
      </w:r>
    </w:p>
    <w:p>
      <w:pPr>
        <w:pStyle w:val="Normal"/>
        <w:jc w:val="both"/>
        <w:rPr/>
      </w:pPr>
      <w:r>
        <w:rPr/>
      </w:r>
    </w:p>
    <w:p>
      <w:pPr>
        <w:pStyle w:val="Normal"/>
        <w:jc w:val="both"/>
        <w:rPr>
          <w:b/>
          <w:bCs/>
        </w:rPr>
      </w:pPr>
      <w:r>
        <w:rPr>
          <w:b/>
          <w:bCs/>
        </w:rPr>
        <w:t>5.  Revised Article 9</w:t>
      </w:r>
    </w:p>
    <w:p>
      <w:pPr>
        <w:pStyle w:val="Normal"/>
        <w:jc w:val="both"/>
        <w:rPr/>
      </w:pPr>
      <w:r>
        <w:rPr/>
        <w:t xml:space="preserve">a.  now makes ineffective restrictions (prior law made ineffective only prohibitions) on a Counterparty's right to assign receivables; provides for certain protective rights of account debtor under which we would try to fit, but difficult with multiple master and parties (protective rights should work for a close-out under a singular master between same two parties as "recoupment"); </w:t>
      </w:r>
    </w:p>
    <w:p>
      <w:pPr>
        <w:pStyle w:val="Normal"/>
        <w:jc w:val="both"/>
        <w:rPr/>
      </w:pPr>
      <w:r>
        <w:rPr/>
        <w:t>b.  take and perfect security interest in amounts owed to Counterparty, bringing receivables back "home"</w:t>
      </w:r>
    </w:p>
    <w:p>
      <w:pPr>
        <w:pStyle w:val="Normal"/>
        <w:jc w:val="both"/>
        <w:rPr/>
      </w:pPr>
      <w:r>
        <w:rPr/>
        <w:t>c.  Canada law is similar and would require filing as well</w:t>
      </w:r>
    </w:p>
    <w:p>
      <w:pPr>
        <w:pStyle w:val="Normal"/>
        <w:jc w:val="both"/>
        <w:rPr/>
      </w:pPr>
      <w:r>
        <w:rPr/>
        <w:t>d.  elective termination of master netting upon notification of assignment of receivables by Counterparty party</w:t>
      </w:r>
    </w:p>
    <w:p>
      <w:pPr>
        <w:pStyle w:val="Normal"/>
        <w:jc w:val="both"/>
        <w:rPr>
          <w:b/>
          <w:bCs/>
        </w:rPr>
      </w:pPr>
      <w:r>
        <w:rPr>
          <w:b/>
          <w:bCs/>
        </w:rPr>
      </w:r>
    </w:p>
    <w:p>
      <w:pPr>
        <w:pStyle w:val="Normal"/>
        <w:jc w:val="both"/>
        <w:rPr>
          <w:b/>
          <w:bCs/>
        </w:rPr>
      </w:pPr>
      <w:r>
        <w:rPr>
          <w:b/>
          <w:bCs/>
        </w:rPr>
        <w:t>6.  Global Finance Gas Receivables Financing Deployed Last Quarter</w:t>
      </w:r>
    </w:p>
    <w:p>
      <w:pPr>
        <w:pStyle w:val="Normal"/>
        <w:jc w:val="both"/>
        <w:rPr/>
      </w:pPr>
      <w:r>
        <w:rPr/>
        <w:t>a.  New Power and PGE (already executed) being extracted</w:t>
      </w:r>
    </w:p>
    <w:p>
      <w:pPr>
        <w:pStyle w:val="Normal"/>
        <w:jc w:val="both"/>
        <w:rPr/>
      </w:pPr>
      <w:r>
        <w:rPr/>
        <w:t>b.  going forward basis Bradford and Finance are discussing; should not enter into any master netting until resolved</w:t>
      </w:r>
    </w:p>
    <w:p>
      <w:pPr>
        <w:pStyle w:val="Normal"/>
        <w:jc w:val="both"/>
        <w:rPr/>
      </w:pPr>
      <w:r>
        <w:rPr/>
        <w:t>c.  master netting representations plus lien searches prior to execution</w:t>
      </w:r>
    </w:p>
    <w:p>
      <w:pPr>
        <w:pStyle w:val="Normal"/>
        <w:jc w:val="both"/>
        <w:rPr/>
      </w:pPr>
      <w:r>
        <w:rPr/>
      </w:r>
    </w:p>
    <w:p>
      <w:pPr>
        <w:pStyle w:val="Normal"/>
        <w:jc w:val="both"/>
        <w:rPr>
          <w:b/>
          <w:bCs/>
        </w:rPr>
      </w:pPr>
      <w:r>
        <w:rPr>
          <w:b/>
          <w:bCs/>
        </w:rPr>
        <w:t>7.  FDICIA</w:t>
      </w:r>
    </w:p>
    <w:p>
      <w:pPr>
        <w:pStyle w:val="Normal"/>
        <w:jc w:val="both"/>
        <w:rPr/>
      </w:pPr>
      <w:r>
        <w:rPr/>
        <w:t>a.  may be able to utilize if each Enron party and each Counterparty party meet the test on date agreement signed:</w:t>
      </w:r>
    </w:p>
    <w:p>
      <w:pPr>
        <w:pStyle w:val="Normal"/>
        <w:jc w:val="both"/>
        <w:rPr/>
      </w:pPr>
      <w:r>
        <w:rPr/>
      </w:r>
    </w:p>
    <w:p>
      <w:pPr>
        <w:pStyle w:val="Normal"/>
        <w:autoSpaceDE w:val="false"/>
        <w:jc w:val="both"/>
        <w:rPr>
          <w:szCs w:val="20"/>
        </w:rPr>
      </w:pPr>
      <w:r>
        <w:rPr>
          <w:szCs w:val="20"/>
        </w:rPr>
        <w:t>during prior 15 month period on any day had financial contracts (swaps/forwards) of a total gross dollar value of at least one billion in notional principal amount with counterparties who are not affiliates; or</w:t>
      </w:r>
    </w:p>
    <w:p>
      <w:pPr>
        <w:pStyle w:val="Normal"/>
        <w:autoSpaceDE w:val="false"/>
        <w:jc w:val="both"/>
        <w:rPr>
          <w:szCs w:val="20"/>
        </w:rPr>
      </w:pPr>
      <w:r>
        <w:rPr>
          <w:szCs w:val="20"/>
        </w:rPr>
        <w:t>during prior 15 month period on any day had total gross aggregated mark-to-market positions of at least $100 million with respect to unaffiliated financial contracts;</w:t>
      </w:r>
    </w:p>
    <w:p>
      <w:pPr>
        <w:pStyle w:val="Normal"/>
        <w:autoSpaceDE w:val="false"/>
        <w:jc w:val="both"/>
        <w:rPr>
          <w:szCs w:val="20"/>
        </w:rPr>
      </w:pPr>
      <w:r>
        <w:rPr>
          <w:szCs w:val="20"/>
        </w:rPr>
        <w:t>and</w:t>
      </w:r>
    </w:p>
    <w:p>
      <w:pPr>
        <w:pStyle w:val="Normal"/>
        <w:autoSpaceDE w:val="false"/>
        <w:jc w:val="both"/>
        <w:rPr>
          <w:szCs w:val="20"/>
        </w:rPr>
      </w:pPr>
      <w:r>
        <w:rPr>
          <w:szCs w:val="20"/>
        </w:rPr>
        <w:t>stand on either side of relevant financial contracts</w:t>
      </w:r>
    </w:p>
    <w:p>
      <w:pPr>
        <w:pStyle w:val="Normal"/>
        <w:jc w:val="both"/>
        <w:rPr>
          <w:szCs w:val="20"/>
        </w:rPr>
      </w:pPr>
      <w:r>
        <w:rPr>
          <w:szCs w:val="20"/>
        </w:rPr>
      </w:r>
    </w:p>
    <w:p>
      <w:pPr>
        <w:pStyle w:val="Normal"/>
        <w:jc w:val="both"/>
        <w:rPr/>
      </w:pPr>
      <w:r>
        <w:rPr/>
        <w:t>b.  resolves items 1 and 2</w:t>
      </w:r>
    </w:p>
    <w:p>
      <w:pPr>
        <w:pStyle w:val="Normal"/>
        <w:jc w:val="both"/>
        <w:rPr/>
      </w:pPr>
      <w:r>
        <w:rPr/>
        <w:t>c.  Counterparties may not meet the test on a party-by-party basis; do we feel comfortable with such a representation on an Enron entity-by-entity basis</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/mnt/main-storage/datasets/enron-docs/doc/master_netting_issue_list.doc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2001-10-22T10:36:00Z</dcterms:created>
  <dc:creator>mcook</dc:creator>
  <dc:description/>
  <dc:language>en-CA</dc:language>
  <cp:lastModifiedBy>mcook</cp:lastModifiedBy>
  <cp:lastPrinted>2001-10-23T16:23:00Z</cp:lastPrinted>
  <dcterms:modified xsi:type="dcterms:W3CDTF">2001-10-23T19:47:00Z</dcterms:modified>
  <cp:revision>7</cp:revision>
  <dc:subject/>
  <dc:title/>
</cp:coreProperties>
</file>