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rPr>
      </w:pPr>
      <w:r>
        <w:rPr>
          <w:b/>
          <w:color w:val="000000"/>
        </w:rPr>
        <w:t>MASTER CROSS-PRODUCT NETTING AND SECURITY AGREEMENT</w:t>
      </w:r>
      <w:r>
        <mc:AlternateContent>
          <mc:Choice Requires="wps">
            <w:drawing>
              <wp:anchor behindDoc="0" distT="0" distB="0" distL="114935" distR="114935" simplePos="0" locked="0" layoutInCell="1" allowOverlap="1" relativeHeight="6">
                <wp:simplePos x="0" y="0"/>
                <wp:positionH relativeFrom="column">
                  <wp:posOffset>4750435</wp:posOffset>
                </wp:positionH>
                <wp:positionV relativeFrom="paragraph">
                  <wp:posOffset>-644525</wp:posOffset>
                </wp:positionV>
                <wp:extent cx="1289050" cy="466090"/>
                <wp:effectExtent l="0" t="0" r="0" b="0"/>
                <wp:wrapNone/>
                <wp:docPr id="1" name="Frame1"/>
                <a:graphic xmlns:a="http://schemas.openxmlformats.org/drawingml/2006/main">
                  <a:graphicData uri="http://schemas.microsoft.com/office/word/2010/wordprocessingShape">
                    <wps:wsp>
                      <wps:cNvSpPr txBox="1"/>
                      <wps:spPr>
                        <a:xfrm>
                          <a:off x="0" y="0"/>
                          <a:ext cx="1289050" cy="466090"/>
                        </a:xfrm>
                        <a:prstGeom prst="rect"/>
                        <a:solidFill>
                          <a:srgbClr val="FFFFFF"/>
                        </a:solidFill>
                        <a:ln w="9525">
                          <a:solidFill>
                            <a:srgbClr val="000000"/>
                          </a:solidFill>
                        </a:ln>
                      </wps:spPr>
                      <wps:txbx>
                        <w:txbxContent>
                          <w:p>
                            <w:pPr>
                              <w:pStyle w:val="Normal"/>
                              <w:rPr>
                                <w:b/>
                              </w:rPr>
                            </w:pPr>
                            <w:r>
                              <w:rPr>
                                <w:b/>
                              </w:rPr>
                              <w:t>CW&amp;T Draft</w:t>
                            </w:r>
                          </w:p>
                          <w:p>
                            <w:pPr>
                              <w:pStyle w:val="Normal"/>
                              <w:rPr>
                                <w:b/>
                              </w:rPr>
                            </w:pPr>
                            <w:r>
                              <w:rPr>
                                <w:b/>
                              </w:rPr>
                              <w:t>March 10, 2000</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36.7pt;mso-wrap-distance-left:9.05pt;mso-wrap-distance-right:9.05pt;mso-wrap-distance-top:0pt;mso-wrap-distance-bottom:0pt;margin-top:-50.75pt;mso-position-vertical-relative:text;margin-left:374.05pt;mso-position-horizontal-relative:text">
                <v:textbox>
                  <w:txbxContent>
                    <w:p>
                      <w:pPr>
                        <w:pStyle w:val="Normal"/>
                        <w:rPr>
                          <w:b/>
                        </w:rPr>
                      </w:pPr>
                      <w:r>
                        <w:rPr>
                          <w:b/>
                        </w:rPr>
                        <w:t>CW&amp;T Draft</w:t>
                      </w:r>
                    </w:p>
                    <w:p>
                      <w:pPr>
                        <w:pStyle w:val="Normal"/>
                        <w:rPr>
                          <w:b/>
                        </w:rPr>
                      </w:pPr>
                      <w:r>
                        <w:rPr>
                          <w:b/>
                        </w:rPr>
                        <w:t>March 10, 2000</w:t>
                      </w:r>
                    </w:p>
                  </w:txbxContent>
                </v:textbox>
                <w10:wrap type="none"/>
              </v:rect>
            </w:pict>
          </mc:Fallback>
        </mc:AlternateContent>
      </w:r>
    </w:p>
    <w:p>
      <w:pPr>
        <w:pStyle w:val="Normal"/>
        <w:jc w:val="both"/>
        <w:rPr>
          <w:b/>
          <w:color w:val="000000"/>
        </w:rPr>
      </w:pPr>
      <w:r>
        <w:rPr>
          <w:b/>
          <w:color w:val="000000"/>
        </w:rPr>
      </w:r>
    </w:p>
    <w:p>
      <w:pPr>
        <w:pStyle w:val="Normal"/>
        <w:jc w:val="both"/>
        <w:rPr>
          <w:b/>
          <w:color w:val="000000"/>
        </w:rPr>
      </w:pPr>
      <w:r>
        <w:rPr>
          <w:b/>
          <w:color w:val="000000"/>
        </w:rPr>
      </w:r>
    </w:p>
    <w:p>
      <w:pPr>
        <w:pStyle w:val="Normal"/>
        <w:jc w:val="both"/>
        <w:rPr/>
      </w:pPr>
      <w:r>
        <w:rPr>
          <w:b/>
          <w:color w:val="000000"/>
        </w:rPr>
        <w:tab/>
      </w:r>
      <w:r>
        <w:rPr>
          <w:color w:val="000000"/>
        </w:rPr>
        <w:t>This Master Cross-Product Netting and Security Agreement (this “</w:t>
      </w:r>
      <w:r>
        <w:rPr>
          <w:color w:val="000000"/>
          <w:u w:val="single"/>
        </w:rPr>
        <w:t>Agreement</w:t>
      </w:r>
      <w:r>
        <w:rPr>
          <w:color w:val="000000"/>
        </w:rPr>
        <w:t>”) is made and entered into effective as of ________________________ by and between ____________________________</w:t>
      </w:r>
      <w:r>
        <w:rPr>
          <w:b/>
          <w:color w:val="000000"/>
        </w:rPr>
        <w:t xml:space="preserve"> </w:t>
      </w:r>
      <w:r>
        <w:rPr>
          <w:color w:val="000000"/>
        </w:rPr>
        <w:t>(“</w:t>
      </w:r>
      <w:r>
        <w:rPr>
          <w:color w:val="000000"/>
          <w:u w:val="single"/>
        </w:rPr>
        <w:t>Counterparty</w:t>
      </w:r>
      <w:r>
        <w:rPr>
          <w:color w:val="000000"/>
        </w:rPr>
        <w:t>”), and Enron North America Corp. (“</w:t>
      </w:r>
      <w:r>
        <w:rPr>
          <w:color w:val="000000"/>
          <w:u w:val="single"/>
        </w:rPr>
        <w:t>Enron</w:t>
      </w:r>
      <w:r>
        <w:rPr>
          <w:color w:val="000000"/>
        </w:rPr>
        <w:t xml:space="preserve">”).  </w:t>
      </w:r>
    </w:p>
    <w:p>
      <w:pPr>
        <w:pStyle w:val="Normal"/>
        <w:jc w:val="both"/>
        <w:rPr>
          <w:color w:val="000000"/>
        </w:rPr>
      </w:pPr>
      <w:r>
        <w:rPr>
          <w:color w:val="000000"/>
        </w:rPr>
      </w:r>
    </w:p>
    <w:p>
      <w:pPr>
        <w:pStyle w:val="Normal"/>
        <w:jc w:val="center"/>
        <w:rPr>
          <w:b/>
          <w:color w:val="000000"/>
          <w:u w:val="single"/>
        </w:rPr>
      </w:pPr>
      <w:r>
        <w:rPr>
          <w:b/>
          <w:color w:val="000000"/>
          <w:u w:val="single"/>
        </w:rPr>
        <w:t>RECITALS</w:t>
      </w:r>
    </w:p>
    <w:p>
      <w:pPr>
        <w:pStyle w:val="Normal"/>
        <w:ind w:firstLine="1440" w:end="0"/>
        <w:jc w:val="both"/>
        <w:rPr>
          <w:b/>
          <w:color w:val="000000"/>
          <w:u w:val="single"/>
        </w:rPr>
      </w:pPr>
      <w:r>
        <w:rPr>
          <w:b/>
          <w:color w:val="000000"/>
          <w:u w:val="single"/>
        </w:rPr>
      </w:r>
    </w:p>
    <w:p>
      <w:pPr>
        <w:pStyle w:val="Normal"/>
        <w:numPr>
          <w:ilvl w:val="0"/>
          <w:numId w:val="2"/>
        </w:numPr>
        <w:tabs>
          <w:tab w:val="clear" w:pos="720"/>
          <w:tab w:val="left" w:pos="-90" w:leader="none"/>
        </w:tabs>
        <w:ind w:firstLine="720" w:start="0" w:end="0"/>
        <w:jc w:val="both"/>
        <w:rPr>
          <w:color w:val="000000"/>
        </w:rPr>
      </w:pPr>
      <w:r>
        <w:rPr>
          <w:color w:val="000000"/>
        </w:rPr>
        <w:t>Enron and Counterparty have entered into that certain [ISDA or US Industrial] Master Agreement dated as of _______________ (including all Transactions, schedules, annexes and confirmations thereunder, collectively, the “</w:t>
      </w:r>
      <w:r>
        <w:rPr>
          <w:color w:val="000000"/>
          <w:u w:val="single"/>
        </w:rPr>
        <w:t>Financial Master Agreement</w:t>
      </w:r>
      <w:r>
        <w:rPr>
          <w:color w:val="000000"/>
        </w:rPr>
        <w:t>”).</w:t>
      </w:r>
    </w:p>
    <w:p>
      <w:pPr>
        <w:pStyle w:val="Normal"/>
        <w:jc w:val="both"/>
        <w:rPr>
          <w:color w:val="000000"/>
        </w:rPr>
      </w:pPr>
      <w:r>
        <w:rPr>
          <w:color w:val="000000"/>
        </w:rPr>
      </w:r>
    </w:p>
    <w:p>
      <w:pPr>
        <w:pStyle w:val="Normal"/>
        <w:numPr>
          <w:ilvl w:val="0"/>
          <w:numId w:val="2"/>
        </w:numPr>
        <w:tabs>
          <w:tab w:val="clear" w:pos="720"/>
          <w:tab w:val="left" w:pos="-90" w:leader="none"/>
        </w:tabs>
        <w:ind w:firstLine="720" w:start="0" w:end="0"/>
        <w:jc w:val="both"/>
        <w:rPr>
          <w:color w:val="000000"/>
        </w:rPr>
      </w:pPr>
      <w:r>
        <w:rPr>
          <w:color w:val="000000"/>
        </w:rPr>
        <w:t>Enron and Counterparty have entered into that certain [Master Firm Purchase/Sale Agreement or Base Contract for Short-Term Sale and Purchase of Natural Gas] dated as of _______________, (as the same may be amended, restated, supplemented or otherwise modified, from time to time, and including all Transactions, schedules, annexes and confirmations thereunder, the “</w:t>
      </w:r>
      <w:r>
        <w:rPr>
          <w:color w:val="000000"/>
          <w:u w:val="single"/>
        </w:rPr>
        <w:t>Physical Master Agreement</w:t>
      </w:r>
      <w:r>
        <w:rPr>
          <w:color w:val="000000"/>
        </w:rPr>
        <w:t>”). The Physical Master Agreement and the Financial Master Agreement are referred to herein, collectively, as the “</w:t>
      </w:r>
      <w:r>
        <w:rPr>
          <w:color w:val="000000"/>
          <w:u w:val="single"/>
        </w:rPr>
        <w:t>Underlying Master Agreements</w:t>
      </w:r>
      <w:r>
        <w:rPr>
          <w:color w:val="000000"/>
        </w:rPr>
        <w:t>”).</w:t>
      </w:r>
    </w:p>
    <w:p>
      <w:pPr>
        <w:pStyle w:val="Normal"/>
        <w:jc w:val="both"/>
        <w:rPr>
          <w:color w:val="000000"/>
        </w:rPr>
      </w:pPr>
      <w:r>
        <w:rPr>
          <w:color w:val="000000"/>
        </w:rPr>
        <w:t xml:space="preserve"> </w:t>
      </w:r>
    </w:p>
    <w:p>
      <w:pPr>
        <w:pStyle w:val="Normal"/>
        <w:numPr>
          <w:ilvl w:val="0"/>
          <w:numId w:val="2"/>
        </w:numPr>
        <w:tabs>
          <w:tab w:val="clear" w:pos="720"/>
          <w:tab w:val="left" w:pos="-90" w:leader="none"/>
        </w:tabs>
        <w:ind w:firstLine="720" w:start="0" w:end="0"/>
        <w:jc w:val="both"/>
        <w:rPr>
          <w:color w:val="000000"/>
        </w:rPr>
      </w:pPr>
      <w:r>
        <w:rPr>
          <w:color w:val="000000"/>
        </w:rPr>
        <w:t>Enron and Counterparty desire now to provide in this Agreement for Enron’s right to terminate, liquidate, net, setoff, and apply Collateral upon a Default by Counterparty under either or both of the Underlying Master Agreements, including by permitting Enron to terminate, liquidate, net, setoff and apply Collateral across the Underlying Master Agreements and to treat the Underlying Master Agreements as a single agreement for such purposes, whether or not such Obligations arise under or are in connection with cash settled Transactions and/or physically settled Transactions.</w:t>
      </w:r>
    </w:p>
    <w:p>
      <w:pPr>
        <w:pStyle w:val="Normal"/>
        <w:jc w:val="both"/>
        <w:rPr>
          <w:color w:val="000000"/>
        </w:rPr>
      </w:pPr>
      <w:r>
        <w:rPr>
          <w:color w:val="000000"/>
        </w:rPr>
      </w:r>
    </w:p>
    <w:p>
      <w:pPr>
        <w:pStyle w:val="Normal"/>
        <w:jc w:val="both"/>
        <w:rPr/>
      </w:pPr>
      <w:r>
        <w:rPr>
          <w:color w:val="000000"/>
        </w:rPr>
        <w:tab/>
      </w:r>
      <w:r>
        <w:rPr>
          <w:b/>
          <w:color w:val="000000"/>
        </w:rPr>
        <w:t>NOW THEREFORE,</w:t>
      </w:r>
      <w:r>
        <w:rPr>
          <w:color w:val="000000"/>
        </w:rPr>
        <w:t xml:space="preserve"> for and in consideration of the mutual agreements herein made and other good and valuable consideration, the receipt and sufficiency of which are hereby acknowledged, the parties agree as follows:</w:t>
      </w:r>
    </w:p>
    <w:p>
      <w:pPr>
        <w:pStyle w:val="Normal"/>
        <w:jc w:val="both"/>
        <w:rPr>
          <w:color w:val="000000"/>
        </w:rPr>
      </w:pPr>
      <w:r>
        <w:rPr>
          <w:color w:val="000000"/>
        </w:rPr>
      </w:r>
    </w:p>
    <w:p>
      <w:pPr>
        <w:pStyle w:val="Normal"/>
        <w:jc w:val="both"/>
        <w:rPr/>
      </w:pPr>
      <w:r>
        <w:rPr>
          <w:color w:val="000000"/>
        </w:rPr>
        <w:tab/>
      </w:r>
      <w:r>
        <w:rPr>
          <w:b/>
          <w:color w:val="000000"/>
        </w:rPr>
        <w:t>1.</w:t>
        <w:tab/>
        <w:t>Definitions.</w:t>
      </w:r>
      <w:r>
        <w:rPr>
          <w:color w:val="000000"/>
        </w:rPr>
        <w:t xml:space="preserve">  (a) Defined terms used or incorporated by reference in this Agreement and not otherwise defined herein have the same meanings in this Agreement as given to them by either or both of the Underlying Master Agreements. In the event of any conflict or inconsistency between a term defined herein and in any of the Underlying Master Agreements, such term as used in this Agreement shall have the meaning ascribed to it in this Agreement.</w:t>
      </w:r>
    </w:p>
    <w:p>
      <w:pPr>
        <w:pStyle w:val="Normal"/>
        <w:jc w:val="both"/>
        <w:rPr>
          <w:color w:val="000000"/>
        </w:rPr>
      </w:pPr>
      <w:r>
        <w:rPr>
          <w:color w:val="000000"/>
        </w:rPr>
      </w:r>
    </w:p>
    <w:p>
      <w:pPr>
        <w:pStyle w:val="Normal"/>
        <w:jc w:val="both"/>
        <w:rPr>
          <w:color w:val="000000"/>
        </w:rPr>
      </w:pPr>
      <w:r>
        <w:rPr>
          <w:color w:val="000000"/>
        </w:rPr>
        <w:tab/>
        <w:t>(b)  The following terms used in this Agreement are defined as follows:</w:t>
      </w:r>
    </w:p>
    <w:p>
      <w:pPr>
        <w:pStyle w:val="Normal"/>
        <w:jc w:val="both"/>
        <w:rPr>
          <w:color w:val="000000"/>
        </w:rPr>
      </w:pPr>
      <w:r>
        <w:rPr>
          <w:color w:val="000000"/>
        </w:rPr>
      </w:r>
    </w:p>
    <w:p>
      <w:pPr>
        <w:pStyle w:val="Normal"/>
        <w:jc w:val="both"/>
        <w:rPr/>
      </w:pPr>
      <w:r>
        <w:rPr>
          <w:color w:val="000000"/>
        </w:rPr>
        <w:tab/>
      </w:r>
      <w:r>
        <w:rPr/>
        <w:t>“</w:t>
      </w:r>
      <w:r>
        <w:rPr>
          <w:u w:val="single"/>
        </w:rPr>
        <w:t>Code</w:t>
      </w:r>
      <w:r>
        <w:rPr/>
        <w:t>” means the United States Bankruptcy Code, 11 U.S.C. §§101-1330.</w:t>
      </w:r>
    </w:p>
    <w:p>
      <w:pPr>
        <w:pStyle w:val="Normal"/>
        <w:jc w:val="both"/>
        <w:rPr/>
      </w:pPr>
      <w:r>
        <w:rPr/>
      </w:r>
    </w:p>
    <w:p>
      <w:pPr>
        <w:pStyle w:val="Normal"/>
        <w:jc w:val="both"/>
        <w:rPr/>
      </w:pPr>
      <w:r>
        <w:rPr/>
        <w:tab/>
        <w:t>“</w:t>
      </w:r>
      <w:r>
        <w:rPr>
          <w:u w:val="single"/>
        </w:rPr>
        <w:t>Debt</w:t>
      </w:r>
      <w:r>
        <w:rPr/>
        <w:t>” has the meaning set forth in Section 101 of the Code.</w:t>
      </w:r>
    </w:p>
    <w:p>
      <w:pPr>
        <w:pStyle w:val="Normal"/>
        <w:jc w:val="both"/>
        <w:rPr/>
      </w:pPr>
      <w:r>
        <w:rPr/>
      </w:r>
    </w:p>
    <w:p>
      <w:pPr>
        <w:pStyle w:val="Normal"/>
        <w:jc w:val="both"/>
        <w:rPr/>
      </w:pPr>
      <w:r>
        <w:rPr/>
        <w:tab/>
        <w:t>“</w:t>
      </w:r>
      <w:r>
        <w:rPr>
          <w:u w:val="single"/>
        </w:rPr>
        <w:t>Enron Affiliate</w:t>
      </w:r>
      <w:r>
        <w:rPr/>
        <w:t>” means Enron and each of its now and hereafter existing affiliates.</w:t>
      </w:r>
    </w:p>
    <w:p>
      <w:pPr>
        <w:pStyle w:val="Normal"/>
        <w:jc w:val="both"/>
        <w:rPr/>
      </w:pPr>
      <w:r>
        <w:rPr/>
      </w:r>
    </w:p>
    <w:p>
      <w:pPr>
        <w:pStyle w:val="Normal"/>
        <w:jc w:val="both"/>
        <w:rPr/>
      </w:pPr>
      <w:r>
        <w:rPr/>
        <w:tab/>
      </w:r>
      <w:r>
        <w:rPr>
          <w:color w:val="000000"/>
        </w:rPr>
        <w:t>“</w:t>
      </w:r>
      <w:r>
        <w:rPr>
          <w:color w:val="000000"/>
          <w:u w:val="single"/>
        </w:rPr>
        <w:t>Obligation</w:t>
      </w:r>
      <w:r>
        <w:rPr>
          <w:color w:val="000000"/>
        </w:rPr>
        <w:t>” or “</w:t>
      </w:r>
      <w:r>
        <w:rPr>
          <w:color w:val="000000"/>
          <w:u w:val="single"/>
        </w:rPr>
        <w:t>Obligations</w:t>
      </w:r>
      <w:r>
        <w:rPr>
          <w:color w:val="000000"/>
        </w:rPr>
        <w:t xml:space="preserve">” means each and every obligation or liability Counterparty owes to Enron or Enron owes to Counterparty, whether financial or physical including, without limitation, </w:t>
      </w:r>
      <w:r>
        <w:rPr/>
        <w:t>payment and delivery obligations, any obligation or requirement under an Underlying Master Agreement, a Transaction or hereunder, any Debt, any obligation arising under a guarantee that Counterparty has provided to Enron and every obligation or requirement Counterparty has under any Transaction to maintain or deliver Collateral with respect to such Transaction (whether or not performance is due) or in connection with a guarantee, or acceleration, cancellation, termination or liquidation of the guarantee, whether arising under an Underlying Master Agreement, this Agreement, heretofore, or hereafter and whether fixed, matured, unmatured, liquidated, unliquidated, or contingent.</w:t>
      </w:r>
    </w:p>
    <w:p>
      <w:pPr>
        <w:pStyle w:val="Normal"/>
        <w:jc w:val="both"/>
        <w:rPr/>
      </w:pPr>
      <w:r>
        <w:rPr/>
      </w:r>
    </w:p>
    <w:p>
      <w:pPr>
        <w:pStyle w:val="Normal"/>
        <w:jc w:val="both"/>
        <w:rPr>
          <w:spacing w:val="-2"/>
        </w:rPr>
      </w:pPr>
      <w:r>
        <w:rPr/>
        <w:tab/>
        <w:t>“</w:t>
      </w:r>
      <w:r>
        <w:rPr>
          <w:u w:val="single"/>
        </w:rPr>
        <w:t>Party</w:t>
      </w:r>
      <w:r>
        <w:rPr/>
        <w:t>” means Counterparty or Enron, as the context indicates.</w:t>
      </w:r>
    </w:p>
    <w:p>
      <w:pPr>
        <w:pStyle w:val="Normal"/>
        <w:jc w:val="both"/>
        <w:rPr>
          <w:color w:val="000000"/>
          <w:spacing w:val="-2"/>
        </w:rPr>
      </w:pPr>
      <w:r>
        <w:rPr>
          <w:color w:val="000000"/>
          <w:spacing w:val="-2"/>
        </w:rPr>
      </w:r>
    </w:p>
    <w:p>
      <w:pPr>
        <w:pStyle w:val="Normal"/>
        <w:jc w:val="both"/>
        <w:rPr/>
      </w:pPr>
      <w:r>
        <w:rPr>
          <w:color w:val="000000"/>
        </w:rPr>
        <w:tab/>
        <w:t>“</w:t>
      </w:r>
      <w:r>
        <w:rPr>
          <w:color w:val="000000"/>
          <w:u w:val="single"/>
        </w:rPr>
        <w:t>Transaction</w:t>
      </w:r>
      <w:r>
        <w:rPr>
          <w:color w:val="000000"/>
        </w:rPr>
        <w:t>” or “</w:t>
      </w:r>
      <w:r>
        <w:rPr>
          <w:color w:val="000000"/>
          <w:u w:val="single"/>
        </w:rPr>
        <w:t>Transactions</w:t>
      </w:r>
      <w:r>
        <w:rPr>
          <w:color w:val="000000"/>
        </w:rPr>
        <w:t>” means all trades, transactions, open contractual commitments, guaranties, and extensions of credit between Enron and Counterparty arising under the Underlying Master Agreements or hereunder.</w:t>
      </w:r>
    </w:p>
    <w:p>
      <w:pPr>
        <w:pStyle w:val="Normal"/>
        <w:jc w:val="both"/>
        <w:rPr>
          <w:color w:val="000000"/>
        </w:rPr>
      </w:pPr>
      <w:r>
        <w:rPr>
          <w:color w:val="000000"/>
        </w:rPr>
      </w:r>
    </w:p>
    <w:p>
      <w:pPr>
        <w:pStyle w:val="Normal"/>
        <w:jc w:val="both"/>
        <w:rPr>
          <w:color w:val="000000"/>
        </w:rPr>
      </w:pPr>
      <w:r>
        <w:rPr>
          <w:color w:val="000000"/>
        </w:rPr>
        <w:tab/>
      </w:r>
      <w:r>
        <w:rPr>
          <w:b/>
          <w:color w:val="000000"/>
        </w:rPr>
        <w:t>2.</w:t>
        <w:tab/>
        <w:t>Default and Remedies.</w:t>
      </w:r>
      <w:r>
        <w:rPr>
          <w:color w:val="000000"/>
        </w:rPr>
        <w:t xml:space="preserve">   (a)  The occurrence of a default or event of default under any of the Underlying Master Agreements constitutes a </w:t>
      </w:r>
      <w:r>
        <w:rPr/>
        <w:t>“</w:t>
      </w:r>
      <w:r>
        <w:rPr>
          <w:u w:val="single"/>
        </w:rPr>
        <w:t>Default</w:t>
      </w:r>
      <w:r>
        <w:rPr/>
        <w:t>” under this Agreement without regard to any cure periods or conditions relating to the giving of notice or the passage of time in any of the Underlying Master Agreements.</w:t>
      </w:r>
    </w:p>
    <w:p>
      <w:pPr>
        <w:pStyle w:val="Normal"/>
        <w:jc w:val="both"/>
        <w:rPr>
          <w:color w:val="000000"/>
        </w:rPr>
      </w:pPr>
      <w:r>
        <w:rPr>
          <w:color w:val="000000"/>
        </w:rPr>
      </w:r>
    </w:p>
    <w:p>
      <w:pPr>
        <w:pStyle w:val="Normal"/>
        <w:jc w:val="both"/>
        <w:rPr/>
      </w:pPr>
      <w:r>
        <w:rPr>
          <w:color w:val="000000"/>
        </w:rPr>
        <w:tab/>
        <w:tab/>
        <w:t xml:space="preserve">(b) Upon the occurrence of a Default, Enron may, without notice, </w:t>
      </w:r>
      <w:r>
        <w:rPr>
          <w:spacing w:val="-2"/>
        </w:rPr>
        <w:t xml:space="preserve">(A) consider and declare Counterparty in default of any and all Transactions; (B) in whole or in part, accelerate, cancel, terminate and liquidate or otherwise close out any Transaction with Counterparty; (C) set off, net, and/or recoup Enron’s Obligations to Counterparty against any of Counterparty’s Obligations to Enron; (D) retain any Collateral and withhold payment and performance of any Obligation to Counterparty to pay, secure, set-off against, net and/or recoup any Obligation Counterparty owes to Enron; (E) foreclose, collect, sell or otherwise liquidate any Collateral in any order and at any time, and apply the proceeds thereof to satisfy any of Counterparty’s Obligations to Enron; (F) convert any Obligation from one currency into another currency at the then prevailing rate of exchange; and (G) take any other action permitted by law or in equity or by any Transaction necessary or appropriate to protect, preserve or enforce Enron’s rights or to reduce any risk of loss or delay. </w:t>
      </w:r>
      <w:r>
        <w:rPr>
          <w:color w:val="000000"/>
        </w:rPr>
        <w:t xml:space="preserve"> </w:t>
      </w:r>
    </w:p>
    <w:p>
      <w:pPr>
        <w:pStyle w:val="Normal"/>
        <w:ind w:firstLine="720" w:end="0"/>
        <w:jc w:val="both"/>
        <w:rPr>
          <w:color w:val="000000"/>
        </w:rPr>
      </w:pPr>
      <w:r>
        <w:rPr>
          <w:color w:val="000000"/>
        </w:rPr>
      </w:r>
    </w:p>
    <w:p>
      <w:pPr>
        <w:pStyle w:val="Normal"/>
        <w:jc w:val="both"/>
        <w:rPr/>
      </w:pPr>
      <w:r>
        <w:rPr>
          <w:color w:val="000000"/>
        </w:rPr>
        <w:tab/>
      </w:r>
      <w:r>
        <w:rPr>
          <w:b/>
          <w:color w:val="000000"/>
        </w:rPr>
        <w:t>3.</w:t>
        <w:tab/>
        <w:t>Setoff.</w:t>
      </w:r>
      <w:r>
        <w:rPr>
          <w:color w:val="000000"/>
        </w:rPr>
        <w:t xml:space="preserve">  Upon the occurrence of a Default, Enron may setoff (including by set-off, offset, combination of accounts, retention or withholding across or within each or all of the Underlying Master Agreements) any sum, amount or Obligation (whether physically or financially settled, matured or unmatured) owed by Enron to Counterparty against any sum, amount or Obligation (whether physically or financially settled, matured or unmatured) owed by Counterparty to Enron. The foregoing is in addition to, and not in limitation of, any other right or remedy available to Enron (including any right of setoff, offset, combination of accounts, deduction, counterclaim, retention or withholding), whether arising by agreement, applicable law, equity, or otherwise.  </w:t>
      </w:r>
    </w:p>
    <w:p>
      <w:pPr>
        <w:pStyle w:val="Normal"/>
        <w:jc w:val="both"/>
        <w:rPr>
          <w:color w:val="000000"/>
        </w:rPr>
      </w:pPr>
      <w:r>
        <w:rPr>
          <w:color w:val="000000"/>
        </w:rPr>
      </w:r>
    </w:p>
    <w:p>
      <w:pPr>
        <w:pStyle w:val="Normal"/>
        <w:jc w:val="both"/>
        <w:rPr/>
      </w:pPr>
      <w:r>
        <w:rPr>
          <w:color w:val="000000"/>
        </w:rPr>
        <w:tab/>
      </w:r>
      <w:r>
        <w:rPr>
          <w:b/>
          <w:color w:val="000000"/>
        </w:rPr>
        <w:t>4.</w:t>
        <w:tab/>
        <w:t>Security Interest and Lien.</w:t>
      </w:r>
      <w:r>
        <w:rPr>
          <w:color w:val="000000"/>
        </w:rPr>
        <w:t xml:space="preserve">  (a) Counterparty hereby grants Enron a continuing security interest in and assigns (notwithstanding any limitation in any of the Underlying Master Agreements) to Enron (a) all securities, monies or other property now or hereafter held or carried by Enron in any accounts of Counterparty or otherwise held or subject to the control or dominion of Enron or any agent thereof (including any margin posted) under the Underlying Master Agreements, (b) any rights Counterparty has in any Enron Obligations and (c) all proceeds of or distributions on any of the foregoing (collectively, the “</w:t>
      </w:r>
      <w:r>
        <w:rPr>
          <w:color w:val="000000"/>
          <w:u w:val="single"/>
        </w:rPr>
        <w:t>Collateral</w:t>
      </w:r>
      <w:r>
        <w:rPr>
          <w:color w:val="000000"/>
        </w:rPr>
        <w:t>”).</w:t>
      </w:r>
    </w:p>
    <w:p>
      <w:pPr>
        <w:pStyle w:val="Normal"/>
        <w:jc w:val="both"/>
        <w:rPr>
          <w:color w:val="000000"/>
        </w:rPr>
      </w:pPr>
      <w:r>
        <w:rPr>
          <w:color w:val="000000"/>
        </w:rPr>
      </w:r>
    </w:p>
    <w:p>
      <w:pPr>
        <w:pStyle w:val="Normal"/>
        <w:jc w:val="both"/>
        <w:rPr>
          <w:color w:val="000000"/>
        </w:rPr>
      </w:pPr>
      <w:r>
        <w:rPr>
          <w:color w:val="000000"/>
        </w:rPr>
        <w:tab/>
        <w:tab/>
        <w:t>(b)  All Collateral pledged by Counterparty in connection with a particular Transaction or Transactions shall secure first its Obligations under that Transaction or those Transactions, and second its Obligations under all other Transactions. In furtherance of the foregoing, any Underlying Master Agreements more particularly describing any property that is Collateral in hereby incorporated by reference herein as if fully set forth herein. Enron and each Enron Affiliate agrees to act as the agent and bailee of each other Enron Affiliate in respect of the Collateral and shall hold any Collateral both as secured party and as agent and bailee of each other Enron Affiliate as a secured party. Counterparty agrees to take such action as is necessary to cooperate with Enron, and by way of security Counterparty hereby irrevocably appoints each Enron Affiliate severally to be its attorney in the name of and on behalf and as the act and deed of Counterparty or otherwise under a power coupled with an interest to execute, sign, seal and deliver any documents which each Enron Affiliate may require for perfecting its security interest in the Collateral or upon the occurrence of a Default vesting the Collateral in each Enron Affiliate or its nominees or any purchaser, and otherwise generally to sign, seal, deliver and otherwise perfect any such legal or other mortgage charge or assignment and all such deeds and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Affiliates’ rights hereunder or otherwise.</w:t>
      </w:r>
    </w:p>
    <w:p>
      <w:pPr>
        <w:pStyle w:val="Normal"/>
        <w:jc w:val="both"/>
        <w:rPr>
          <w:color w:val="000000"/>
        </w:rPr>
      </w:pPr>
      <w:r>
        <w:rPr>
          <w:color w:val="000000"/>
        </w:rPr>
      </w:r>
    </w:p>
    <w:p>
      <w:pPr>
        <w:pStyle w:val="Normal"/>
        <w:jc w:val="both"/>
        <w:rPr/>
      </w:pPr>
      <w:r>
        <w:rPr>
          <w:color w:val="000000"/>
        </w:rPr>
        <w:tab/>
      </w:r>
      <w:r>
        <w:rPr>
          <w:b/>
          <w:color w:val="000000"/>
        </w:rPr>
        <w:t>5.</w:t>
        <w:tab/>
        <w:t>Representations and Warranties.</w:t>
      </w:r>
      <w:r>
        <w:rPr>
          <w:color w:val="000000"/>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or,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w:t>
      </w:r>
    </w:p>
    <w:p>
      <w:pPr>
        <w:pStyle w:val="Normal"/>
        <w:jc w:val="both"/>
        <w:rPr>
          <w:color w:val="000000"/>
        </w:rPr>
      </w:pPr>
      <w:r>
        <w:rPr>
          <w:color w:val="000000"/>
        </w:rPr>
      </w:r>
    </w:p>
    <w:p>
      <w:pPr>
        <w:pStyle w:val="Normal"/>
        <w:jc w:val="both"/>
        <w:rPr>
          <w:color w:val="000000"/>
          <w:u w:val="single"/>
        </w:rPr>
      </w:pPr>
      <w:r>
        <w:rPr>
          <w:color w:val="000000"/>
        </w:rPr>
        <w:tab/>
      </w:r>
      <w:r>
        <w:rPr>
          <w:b/>
          <w:color w:val="000000"/>
        </w:rPr>
        <w:t>6.</w:t>
        <w:tab/>
        <w:t>Interpretation.</w:t>
      </w:r>
      <w:r>
        <w:rPr>
          <w:color w:val="000000"/>
        </w:rPr>
        <w:t xml:space="preserve">  The Parties intend that this Agreement constitutes and should be deemed to be a “master netting agreement” and that the Parties are and should be deemed to be “master netting agreement participants” within the meaning of and as such terms are used in Sections [38A], [38B] and [561] of the Code.</w:t>
      </w:r>
    </w:p>
    <w:p>
      <w:pPr>
        <w:pStyle w:val="Normal"/>
        <w:jc w:val="both"/>
        <w:rPr>
          <w:color w:val="000000"/>
          <w:u w:val="single"/>
        </w:rPr>
      </w:pPr>
      <w:r>
        <w:rPr>
          <w:color w:val="000000"/>
          <w:u w:val="single"/>
        </w:rPr>
      </w:r>
    </w:p>
    <w:p>
      <w:pPr>
        <w:pStyle w:val="Normal"/>
        <w:jc w:val="both"/>
        <w:rPr>
          <w:color w:val="000000"/>
        </w:rPr>
      </w:pPr>
      <w:r>
        <w:rPr>
          <w:color w:val="000000"/>
        </w:rPr>
      </w:r>
    </w:p>
    <w:p>
      <w:pPr>
        <w:pStyle w:val="Normal"/>
        <w:jc w:val="both"/>
        <w:rPr/>
      </w:pPr>
      <w:r>
        <w:rPr>
          <w:color w:val="000000"/>
        </w:rPr>
        <w:tab/>
      </w:r>
      <w:r>
        <w:rPr>
          <w:b/>
          <w:color w:val="000000"/>
        </w:rPr>
        <w:t xml:space="preserve">7.  </w:t>
        <w:tab/>
        <w:t>Headings.</w:t>
      </w:r>
      <w:r>
        <w:rPr>
          <w:color w:val="000000"/>
        </w:rPr>
        <w:t xml:space="preserve">  The use of headings and subheadings in this Agreement, and the division of this Agreement into sections and sub-sections, are for convenience of reference only and shall not affect the interpretation or construction of this Agreement.</w:t>
      </w:r>
    </w:p>
    <w:p>
      <w:pPr>
        <w:pStyle w:val="Normal"/>
        <w:jc w:val="both"/>
        <w:rPr>
          <w:color w:val="000000"/>
        </w:rPr>
      </w:pPr>
      <w:r>
        <w:rPr>
          <w:color w:val="000000"/>
        </w:rPr>
      </w:r>
    </w:p>
    <w:p>
      <w:pPr>
        <w:pStyle w:val="Normal"/>
        <w:jc w:val="both"/>
        <w:rPr/>
      </w:pPr>
      <w:r>
        <w:rPr>
          <w:color w:val="000000"/>
        </w:rPr>
        <w:tab/>
      </w:r>
      <w:r>
        <w:rPr>
          <w:b/>
          <w:color w:val="000000"/>
        </w:rPr>
        <w:t>8.</w:t>
        <w:tab/>
        <w:t>Governing Law.</w:t>
      </w:r>
      <w:r>
        <w:rPr>
          <w:color w:val="000000"/>
        </w:rPr>
        <w:t xml:space="preserve">  The rights of the Parties under this Agreement shall be in addition to, and not in limitation or exclusion of, any other rights which they may have (whether by agreement, operation of law or otherwise). This Agreement shall be governed by, and construed in accordance</w:t>
      </w:r>
      <w:r>
        <w:rPr/>
        <w:t xml:space="preserve"> with the laws of the jurisdiction specified in the Underlying Master Agreements; </w:t>
      </w:r>
      <w:r>
        <w:rPr>
          <w:u w:val="single"/>
        </w:rPr>
        <w:t>provided</w:t>
      </w:r>
      <w:r>
        <w:rPr/>
        <w:t xml:space="preserve">, </w:t>
      </w:r>
      <w:r>
        <w:rPr>
          <w:u w:val="single"/>
        </w:rPr>
        <w:t>however</w:t>
      </w:r>
      <w:r>
        <w:rPr/>
        <w:t>, that in the event of any inconsistency as to the governing law under the Underlying Master Agreements, this Agreement shall be construed in accordance with the substantive law of the State of [Texas] (without reference to its choice of law doctrine).</w:t>
      </w:r>
    </w:p>
    <w:p>
      <w:pPr>
        <w:pStyle w:val="Normal"/>
        <w:jc w:val="both"/>
        <w:rPr/>
      </w:pPr>
      <w:r>
        <w:rPr/>
      </w:r>
    </w:p>
    <w:p>
      <w:pPr>
        <w:pStyle w:val="Normal"/>
        <w:jc w:val="both"/>
        <w:rPr/>
      </w:pPr>
      <w:r>
        <w:rPr/>
        <w:tab/>
      </w:r>
      <w:r>
        <w:rPr>
          <w:b/>
        </w:rPr>
        <w:t>9.</w:t>
        <w:tab/>
        <w:t>Jurisdiction; Waivers.</w:t>
      </w:r>
      <w:r>
        <w:rPr/>
        <w:t xml:space="preserve">  Any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jc w:val="both"/>
        <w:rPr/>
      </w:pPr>
      <w:r>
        <w:rPr/>
      </w:r>
    </w:p>
    <w:p>
      <w:pPr>
        <w:pStyle w:val="Normal"/>
        <w:jc w:val="both"/>
        <w:rPr/>
      </w:pPr>
      <w:r>
        <w:rPr/>
        <w:tab/>
      </w:r>
      <w:r>
        <w:rPr>
          <w:b/>
        </w:rPr>
        <w:t>10.</w:t>
        <w:tab/>
        <w:t>Assignment.</w:t>
      </w:r>
      <w:r>
        <w:rPr/>
        <w:t xml:space="preserve">  (a) Counterparty may not transfer (whether by way of security or otherwise) or assign this Agreement or any interest in or under this Agreement without the prior written consent of Enron.</w:t>
      </w:r>
    </w:p>
    <w:p>
      <w:pPr>
        <w:pStyle w:val="Normal"/>
        <w:jc w:val="both"/>
        <w:rPr/>
      </w:pPr>
      <w:r>
        <w:rPr/>
      </w:r>
    </w:p>
    <w:p>
      <w:pPr>
        <w:pStyle w:val="Normal"/>
        <w:jc w:val="both"/>
        <w:rPr/>
      </w:pPr>
      <w:r>
        <w:rPr/>
        <w:tab/>
        <w:tab/>
        <w:t xml:space="preserve">(b)  Enron may transfer or assign this Agreement or any interests herein or under the Underlying Master Agreements to an Enron Affiliate without the consent of Counterparty, </w:t>
      </w:r>
      <w:r>
        <w:rPr>
          <w:u w:val="single"/>
        </w:rPr>
        <w:t>provided</w:t>
      </w:r>
      <w:r>
        <w:rPr/>
        <w:t xml:space="preserve">, </w:t>
      </w:r>
      <w:r>
        <w:rPr>
          <w:u w:val="single"/>
        </w:rPr>
        <w:t>however</w:t>
      </w:r>
      <w:r>
        <w:rPr/>
        <w:t>, that Enron shall notify Counterparty of any such transfer or assignment promptly thereafter.</w:t>
      </w:r>
    </w:p>
    <w:p>
      <w:pPr>
        <w:pStyle w:val="Normal"/>
        <w:jc w:val="both"/>
        <w:rPr/>
      </w:pPr>
      <w:r>
        <w:rPr/>
      </w:r>
    </w:p>
    <w:p>
      <w:pPr>
        <w:pStyle w:val="Normal"/>
        <w:jc w:val="both"/>
        <w:rPr/>
      </w:pPr>
      <w:r>
        <w:rPr/>
        <w:tab/>
      </w:r>
      <w:r>
        <w:rPr>
          <w:b/>
        </w:rPr>
        <w:t>11.</w:t>
        <w:tab/>
        <w:t>Notices.</w:t>
      </w:r>
      <w:r>
        <w:rPr/>
        <w:t xml:space="preserve">  (a) Any and all notices, statements, demands or other communications hereunder may be given by a Party to the other Party by telephone, mail, facsimile, e-mail, electronic message, telegraph, messenger or otherwise to the individuals and at the facsimile numbers, e-mail addresses or other locations as appropriate and as set forth in the Underlying Master Agreements. In the event there is an inconsistency in the notice provisions of the Underlying Master  Agreements, notice that is in substantial compliance with such provision in either of the Underlying Master Agreements shall be effective notice hereunder.  </w:t>
      </w:r>
    </w:p>
    <w:p>
      <w:pPr>
        <w:pStyle w:val="Normal"/>
        <w:jc w:val="both"/>
        <w:rPr/>
      </w:pPr>
      <w:r>
        <w:rPr/>
      </w:r>
    </w:p>
    <w:p>
      <w:pPr>
        <w:pStyle w:val="Normal"/>
        <w:jc w:val="both"/>
        <w:rPr/>
      </w:pPr>
      <w:r>
        <w:rPr/>
        <w:tab/>
        <w:tab/>
        <w:t xml:space="preserve">(b)  Any notice, statement, demand or other communication hereunder will be deemed delivered on the day and at the time on which it is received or, if not received, on the day and at the time on which its delivery was in good faith attempted; </w:t>
      </w:r>
      <w:r>
        <w:rPr>
          <w:u w:val="single"/>
        </w:rPr>
        <w:t>provided</w:t>
      </w:r>
      <w:r>
        <w:rPr/>
        <w:t xml:space="preserve">, </w:t>
      </w:r>
      <w:r>
        <w:rPr>
          <w:u w:val="single"/>
        </w:rPr>
        <w:t>however</w:t>
      </w:r>
      <w:r>
        <w:rPr/>
        <w:t>, that any notice given by a Party to the other Party by telephone shall be deemed delivered only if (a) such notice is followed by written confirmation thereof and (b) at least one of the other means of providing notice that are specifically listed above has simultaneously been attempted in good faith by the notifying Party.</w:t>
      </w:r>
    </w:p>
    <w:p>
      <w:pPr>
        <w:pStyle w:val="Normal"/>
        <w:jc w:val="both"/>
        <w:rPr/>
      </w:pPr>
      <w:r>
        <w:rPr/>
      </w:r>
    </w:p>
    <w:p>
      <w:pPr>
        <w:pStyle w:val="Normal"/>
        <w:jc w:val="both"/>
        <w:rPr>
          <w:color w:val="000000"/>
        </w:rPr>
      </w:pPr>
      <w:r>
        <w:rPr/>
        <w:tab/>
      </w:r>
      <w:r>
        <w:rPr>
          <w:b/>
        </w:rPr>
        <w:t>12.</w:t>
        <w:tab/>
        <w:t>Conflicts; Inconsistencies.</w:t>
      </w:r>
      <w:r>
        <w:rPr/>
        <w:t xml:space="preserve">  In the event of any conflict or inconsistency between this Agreement and any of the Underlying Master Agreements concerning the matters set forth in this Agreement, the provisions of this Agreement shall govern.</w:t>
      </w:r>
    </w:p>
    <w:p>
      <w:pPr>
        <w:pStyle w:val="Normal"/>
        <w:jc w:val="both"/>
        <w:rPr>
          <w:color w:val="000000"/>
        </w:rPr>
      </w:pPr>
      <w:r>
        <w:rPr>
          <w:color w:val="000000"/>
        </w:rPr>
      </w:r>
    </w:p>
    <w:p>
      <w:pPr>
        <w:pStyle w:val="Normal"/>
        <w:jc w:val="both"/>
        <w:rPr/>
      </w:pPr>
      <w:r>
        <w:rPr>
          <w:color w:val="000000"/>
        </w:rPr>
        <w:tab/>
      </w:r>
      <w:r>
        <w:rPr>
          <w:b/>
          <w:color w:val="000000"/>
        </w:rPr>
        <w:t>IN WITNESS WHEREOF,</w:t>
      </w:r>
      <w:r>
        <w:rPr>
          <w:color w:val="000000"/>
        </w:rPr>
        <w:t xml:space="preserve"> the Parties hereto have caused this Agreement to be executed in multiple originals on </w:t>
      </w:r>
      <w:r>
        <w:rPr>
          <w:b/>
          <w:color w:val="000000"/>
        </w:rPr>
        <w:t>[__________________]</w:t>
      </w:r>
      <w:r>
        <w:rPr>
          <w:color w:val="000000"/>
        </w:rPr>
        <w:t xml:space="preserve"> as of the date first noted above.</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ind w:start="5130" w:end="-360"/>
        <w:jc w:val="both"/>
        <w:rPr>
          <w:b/>
          <w:color w:val="000000"/>
        </w:rPr>
      </w:pPr>
      <w:r>
        <w:rPr>
          <w:b/>
          <w:color w:val="000000"/>
        </w:rPr>
        <w:t>ENRON NORTH AMERICA CORP.</w:t>
      </w:r>
    </w:p>
    <w:p>
      <w:pPr>
        <w:pStyle w:val="Normal"/>
        <w:ind w:start="5130" w:end="-360"/>
        <w:jc w:val="both"/>
        <w:rPr>
          <w:b/>
          <w:color w:val="000000"/>
        </w:rPr>
      </w:pPr>
      <w:r>
        <w:rPr>
          <w:b/>
          <w:color w:val="000000"/>
        </w:rPr>
      </w:r>
    </w:p>
    <w:p>
      <w:pPr>
        <w:pStyle w:val="Normal"/>
        <w:ind w:start="5130" w:end="-360"/>
        <w:jc w:val="both"/>
        <w:rPr>
          <w:b/>
          <w:color w:val="000000"/>
        </w:rPr>
      </w:pPr>
      <w:r>
        <w:rPr>
          <w:b/>
          <w:color w:val="000000"/>
        </w:rPr>
      </w:r>
    </w:p>
    <w:p>
      <w:pPr>
        <w:pStyle w:val="Normal"/>
        <w:ind w:start="5130" w:end="-360"/>
        <w:jc w:val="both"/>
        <w:rPr>
          <w:b/>
          <w:color w:val="000000"/>
        </w:rPr>
      </w:pPr>
      <w:r>
        <w:rPr>
          <w:b/>
          <w:color w:val="000000"/>
        </w:rPr>
        <w:t>By:______________________________</w:t>
      </w:r>
    </w:p>
    <w:p>
      <w:pPr>
        <w:pStyle w:val="Normal"/>
        <w:ind w:start="5130" w:end="-360"/>
        <w:jc w:val="both"/>
        <w:rPr>
          <w:b/>
          <w:color w:val="000000"/>
        </w:rPr>
      </w:pPr>
      <w:r>
        <w:rPr>
          <w:b/>
          <w:color w:val="000000"/>
        </w:rPr>
        <w:t xml:space="preserve">     </w:t>
      </w:r>
      <w:r>
        <w:rPr>
          <w:b/>
          <w:color w:val="000000"/>
        </w:rPr>
        <w:t>Name:</w:t>
      </w:r>
    </w:p>
    <w:p>
      <w:pPr>
        <w:pStyle w:val="Normal"/>
        <w:ind w:start="5130" w:end="-360"/>
        <w:jc w:val="both"/>
        <w:rPr>
          <w:b/>
          <w:color w:val="000000"/>
        </w:rPr>
      </w:pPr>
      <w:r>
        <w:rPr>
          <w:b/>
          <w:color w:val="000000"/>
        </w:rPr>
        <w:t xml:space="preserve">     </w:t>
      </w:r>
      <w:r>
        <w:rPr>
          <w:b/>
          <w:color w:val="000000"/>
        </w:rPr>
        <w:t>Title:</w:t>
      </w:r>
    </w:p>
    <w:p>
      <w:pPr>
        <w:pStyle w:val="Normal"/>
        <w:ind w:start="5130" w:end="-360"/>
        <w:jc w:val="both"/>
        <w:rPr>
          <w:b/>
          <w:color w:val="000000"/>
        </w:rPr>
      </w:pPr>
      <w:r>
        <w:rPr>
          <w:b/>
          <w:color w:val="000000"/>
        </w:rPr>
      </w:r>
    </w:p>
    <w:p>
      <w:pPr>
        <w:pStyle w:val="Normal"/>
        <w:ind w:start="5130" w:end="-360"/>
        <w:jc w:val="both"/>
        <w:rPr>
          <w:b/>
          <w:color w:val="000000"/>
        </w:rPr>
      </w:pPr>
      <w:r>
        <w:rPr>
          <w:b/>
          <w:color w:val="000000"/>
        </w:rPr>
      </w:r>
    </w:p>
    <w:p>
      <w:pPr>
        <w:pStyle w:val="Normal"/>
        <w:ind w:start="5130" w:end="-360"/>
        <w:jc w:val="both"/>
        <w:rPr>
          <w:b/>
          <w:color w:val="000000"/>
        </w:rPr>
      </w:pPr>
      <w:r>
        <w:rPr>
          <w:b/>
          <w:color w:val="000000"/>
        </w:rPr>
        <w:t>[COUNTERPARTY]</w:t>
      </w:r>
    </w:p>
    <w:p>
      <w:pPr>
        <w:pStyle w:val="Normal"/>
        <w:ind w:start="5130" w:end="-360"/>
        <w:jc w:val="both"/>
        <w:rPr>
          <w:b/>
          <w:color w:val="000000"/>
        </w:rPr>
      </w:pPr>
      <w:r>
        <w:rPr>
          <w:b/>
          <w:color w:val="000000"/>
        </w:rPr>
      </w:r>
    </w:p>
    <w:p>
      <w:pPr>
        <w:pStyle w:val="Normal"/>
        <w:ind w:start="5130" w:end="-360"/>
        <w:jc w:val="both"/>
        <w:rPr>
          <w:b/>
          <w:color w:val="000000"/>
        </w:rPr>
      </w:pPr>
      <w:r>
        <w:rPr>
          <w:b/>
          <w:color w:val="000000"/>
        </w:rPr>
      </w:r>
    </w:p>
    <w:p>
      <w:pPr>
        <w:pStyle w:val="Normal"/>
        <w:ind w:start="5130" w:end="-360"/>
        <w:jc w:val="both"/>
        <w:rPr>
          <w:b/>
          <w:color w:val="000000"/>
        </w:rPr>
      </w:pPr>
      <w:r>
        <w:rPr>
          <w:b/>
          <w:color w:val="000000"/>
        </w:rPr>
      </w:r>
    </w:p>
    <w:p>
      <w:pPr>
        <w:pStyle w:val="Normal"/>
        <w:ind w:start="5130" w:end="-360"/>
        <w:jc w:val="both"/>
        <w:rPr>
          <w:b/>
          <w:color w:val="000000"/>
        </w:rPr>
      </w:pPr>
      <w:r>
        <w:rPr>
          <w:b/>
          <w:color w:val="000000"/>
        </w:rPr>
        <w:t>By:______________________________</w:t>
      </w:r>
    </w:p>
    <w:p>
      <w:pPr>
        <w:pStyle w:val="Normal"/>
        <w:ind w:start="5130" w:end="-360"/>
        <w:jc w:val="both"/>
        <w:rPr>
          <w:b/>
          <w:color w:val="000000"/>
        </w:rPr>
      </w:pPr>
      <w:r>
        <w:rPr>
          <w:b/>
          <w:color w:val="000000"/>
        </w:rPr>
        <w:t xml:space="preserve">     </w:t>
      </w:r>
      <w:r>
        <w:rPr>
          <w:b/>
          <w:color w:val="000000"/>
        </w:rPr>
        <w:t>Name:</w:t>
      </w:r>
    </w:p>
    <w:p>
      <w:pPr>
        <w:pStyle w:val="Normal"/>
        <w:ind w:start="5130" w:end="-360"/>
        <w:jc w:val="both"/>
        <w:rPr>
          <w:b/>
          <w:color w:val="000000"/>
        </w:rPr>
      </w:pPr>
      <w:r>
        <w:rPr>
          <w:b/>
          <w:color w:val="000000"/>
        </w:rPr>
        <w:t xml:space="preserve">     </w:t>
      </w:r>
      <w:r>
        <w:rPr>
          <w:b/>
          <w:color w:val="000000"/>
        </w:rPr>
        <w:t>Title:</w:t>
      </w:r>
    </w:p>
    <w:p>
      <w:pPr>
        <w:pStyle w:val="Normal"/>
        <w:jc w:val="both"/>
        <w:rPr>
          <w:b/>
          <w:color w:val="000000"/>
        </w:rPr>
      </w:pPr>
      <w:r>
        <w:rPr>
          <w:b/>
          <w:color w:val="00000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numPr>
        <w:ilvl w:val="0"/>
        <w:numId w:val="1"/>
      </w:numPr>
      <w:spacing w:before="240" w:after="0"/>
      <w:jc w:val="both"/>
      <w:outlineLvl w:val="0"/>
    </w:pPr>
    <w:rPr>
      <w:lang w:eastAsia="en-US"/>
    </w:rPr>
  </w:style>
  <w:style w:type="paragraph" w:styleId="Heading2">
    <w:name w:val="heading 2"/>
    <w:basedOn w:val="Normal"/>
    <w:next w:val="BodyText"/>
    <w:qFormat/>
    <w:pPr>
      <w:numPr>
        <w:ilvl w:val="1"/>
        <w:numId w:val="1"/>
      </w:numPr>
      <w:spacing w:before="240" w:after="0"/>
      <w:jc w:val="both"/>
      <w:outlineLvl w:val="1"/>
    </w:pPr>
    <w:rPr>
      <w:lang w:eastAsia="en-US"/>
    </w:rPr>
  </w:style>
  <w:style w:type="paragraph" w:styleId="Heading3">
    <w:name w:val="heading 3"/>
    <w:basedOn w:val="Normal"/>
    <w:next w:val="BodyText"/>
    <w:qFormat/>
    <w:pPr>
      <w:numPr>
        <w:ilvl w:val="2"/>
        <w:numId w:val="1"/>
      </w:numPr>
      <w:spacing w:before="240" w:after="0"/>
      <w:jc w:val="both"/>
      <w:outlineLvl w:val="2"/>
    </w:pPr>
    <w:rPr>
      <w:lang w:eastAsia="en-US"/>
    </w:rPr>
  </w:style>
  <w:style w:type="paragraph" w:styleId="Heading4">
    <w:name w:val="heading 4"/>
    <w:basedOn w:val="Normal"/>
    <w:next w:val="BodyText"/>
    <w:qFormat/>
    <w:pPr>
      <w:numPr>
        <w:ilvl w:val="3"/>
        <w:numId w:val="1"/>
      </w:numPr>
      <w:spacing w:before="240" w:after="0"/>
      <w:jc w:val="both"/>
      <w:outlineLvl w:val="3"/>
    </w:pPr>
    <w:rPr>
      <w:lang w:eastAsia="en-US"/>
    </w:rPr>
  </w:style>
  <w:style w:type="paragraph" w:styleId="Heading5">
    <w:name w:val="heading 5"/>
    <w:basedOn w:val="Normal"/>
    <w:next w:val="BodyText"/>
    <w:qFormat/>
    <w:pPr>
      <w:numPr>
        <w:ilvl w:val="4"/>
        <w:numId w:val="1"/>
      </w:numPr>
      <w:spacing w:before="240" w:after="0"/>
      <w:jc w:val="both"/>
      <w:outlineLvl w:val="4"/>
    </w:pPr>
    <w:rPr>
      <w:lang w:eastAsia="en-US"/>
    </w:rPr>
  </w:style>
  <w:style w:type="paragraph" w:styleId="Heading6">
    <w:name w:val="heading 6"/>
    <w:basedOn w:val="Normal"/>
    <w:next w:val="BodyText"/>
    <w:qFormat/>
    <w:pPr>
      <w:numPr>
        <w:ilvl w:val="5"/>
        <w:numId w:val="1"/>
      </w:numPr>
      <w:spacing w:before="240" w:after="0"/>
      <w:jc w:val="both"/>
      <w:outlineLvl w:val="5"/>
    </w:pPr>
    <w:rPr>
      <w:lang w:eastAsia="en-US"/>
    </w:rPr>
  </w:style>
  <w:style w:type="paragraph" w:styleId="Heading7">
    <w:name w:val="heading 7"/>
    <w:basedOn w:val="Normal"/>
    <w:next w:val="BodyText"/>
    <w:qFormat/>
    <w:pPr>
      <w:numPr>
        <w:ilvl w:val="6"/>
        <w:numId w:val="1"/>
      </w:numPr>
      <w:spacing w:before="240" w:after="0"/>
      <w:jc w:val="both"/>
      <w:outlineLvl w:val="6"/>
    </w:pPr>
    <w:rPr>
      <w:lang w:eastAsia="en-US"/>
    </w:rPr>
  </w:style>
  <w:style w:type="paragraph" w:styleId="Heading8">
    <w:name w:val="heading 8"/>
    <w:basedOn w:val="Normal"/>
    <w:next w:val="BodyText"/>
    <w:qFormat/>
    <w:pPr>
      <w:numPr>
        <w:ilvl w:val="7"/>
        <w:numId w:val="1"/>
      </w:numPr>
      <w:spacing w:before="240" w:after="0"/>
      <w:jc w:val="both"/>
      <w:outlineLvl w:val="7"/>
    </w:pPr>
    <w:rPr>
      <w:lang w:eastAsia="en-US"/>
    </w:rPr>
  </w:style>
  <w:style w:type="paragraph" w:styleId="Heading9">
    <w:name w:val="heading 9"/>
    <w:basedOn w:val="Normal"/>
    <w:next w:val="BodyText"/>
    <w:qFormat/>
    <w:pPr>
      <w:numPr>
        <w:ilvl w:val="8"/>
        <w:numId w:val="1"/>
      </w:numPr>
      <w:spacing w:before="240" w:after="0"/>
      <w:jc w:val="both"/>
      <w:outlineLvl w:val="8"/>
    </w:pPr>
    <w:rPr>
      <w:lang w:eastAsia="en-US"/>
    </w:rPr>
  </w:style>
  <w:style w:type="character" w:styleId="WW8Num2z0">
    <w:name w:val="WW8Num2z0"/>
    <w:qFormat/>
    <w:rPr>
      <w:rFonts w:ascii="Times New Roman" w:hAnsi="Times New Roman" w:cs="Times New Roman"/>
      <w:b w:val="false"/>
      <w:i w:val="false"/>
      <w:sz w:val="24"/>
    </w:rPr>
  </w:style>
  <w:style w:type="character" w:styleId="WW8Num2z1">
    <w:name w:val="WW8Num2z1"/>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jc w:val="both"/>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lang w:eastAsia="en-US"/>
    </w:rPr>
  </w:style>
  <w:style w:type="paragraph" w:styleId="FootnoteText">
    <w:name w:val="footnote text"/>
    <w:basedOn w:val="Normal"/>
    <w:pPr>
      <w:tabs>
        <w:tab w:val="clear" w:pos="720"/>
        <w:tab w:val="left" w:pos="360" w:leader="none"/>
      </w:tabs>
      <w:spacing w:before="120" w:after="0"/>
      <w:jc w:val="both"/>
    </w:pPr>
    <w:rPr>
      <w:sz w:val="22"/>
      <w:lang w:eastAsia="en-US"/>
    </w:rPr>
  </w:style>
  <w:style w:type="paragraph" w:styleId="Header">
    <w:name w:val="header"/>
    <w:basedOn w:val="Normal"/>
    <w:pPr>
      <w:tabs>
        <w:tab w:val="clear" w:pos="720"/>
        <w:tab w:val="center" w:pos="4680" w:leader="none"/>
        <w:tab w:val="right" w:pos="9360" w:leader="none"/>
      </w:tabs>
    </w:pPr>
    <w:rPr>
      <w:lang w:eastAsia="en-US"/>
    </w:rPr>
  </w:style>
  <w:style w:type="paragraph" w:styleId="HeadingCtr">
    <w:name w:val="Heading Ctr"/>
    <w:basedOn w:val="Normal"/>
    <w:qFormat/>
    <w:pPr>
      <w:keepNext w:val="true"/>
      <w:keepLines/>
      <w:spacing w:before="240" w:after="0"/>
      <w:jc w:val="center"/>
    </w:pPr>
    <w:rPr>
      <w:lang w:eastAsia="en-US"/>
    </w:rPr>
  </w:style>
  <w:style w:type="paragraph" w:styleId="HeadingLeft">
    <w:name w:val="Heading Left"/>
    <w:basedOn w:val="Normal"/>
    <w:qFormat/>
    <w:pPr>
      <w:keepNext w:val="true"/>
      <w:keepLines/>
      <w:spacing w:before="240" w:after="0"/>
    </w:pPr>
    <w:rPr>
      <w:lang w:eastAsia="en-US"/>
    </w:rPr>
  </w:style>
  <w:style w:type="paragraph" w:styleId="HeadingRgt">
    <w:name w:val="Heading Rgt"/>
    <w:basedOn w:val="Normal"/>
    <w:qFormat/>
    <w:pPr>
      <w:keepNext w:val="true"/>
      <w:keepLines/>
      <w:spacing w:before="240" w:after="0"/>
      <w:jc w:val="end"/>
    </w:pPr>
    <w:rPr>
      <w:lang w:eastAsia="en-US"/>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lang w:eastAsia="en-CA"/>
    </w:rPr>
  </w:style>
  <w:style w:type="paragraph" w:styleId="TableData">
    <w:name w:val="Table Data"/>
    <w:basedOn w:val="Normal"/>
    <w:qFormat/>
    <w:pPr>
      <w:tabs>
        <w:tab w:val="clear" w:pos="720"/>
        <w:tab w:val="decimal" w:pos="612" w:leader="none"/>
      </w:tabs>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lang w:eastAsia="en-CA"/>
    </w:rPr>
  </w:style>
  <w:style w:type="paragraph" w:styleId="TableItem">
    <w:name w:val="Table Item"/>
    <w:basedOn w:val="Normal"/>
    <w:qFormat/>
    <w:pPr>
      <w:tabs>
        <w:tab w:val="clear" w:pos="720"/>
        <w:tab w:val="left" w:pos="2880" w:leader="dot"/>
      </w:tabs>
      <w:ind w:hanging="180" w:start="180" w:end="432"/>
    </w:pPr>
    <w:rPr>
      <w:lang w:eastAsia="en-CA"/>
    </w:rPr>
  </w:style>
  <w:style w:type="paragraph" w:styleId="BodyTextIndent2">
    <w:name w:val="Body Text Indent 2"/>
    <w:basedOn w:val="Normal"/>
    <w:next w:val="Normal"/>
    <w:qFormat/>
    <w:pPr>
      <w:jc w:val="both"/>
    </w:pPr>
    <w:rPr>
      <w:rFonts w:ascii="Arial" w:hAnsi="Arial" w:cs="Arial"/>
    </w:rPr>
  </w:style>
  <w:style w:type="paragraph" w:styleId="BodyTextIndent3">
    <w:name w:val="Body Text Indent 3"/>
    <w:basedOn w:val="Normal"/>
    <w:next w:val="Normal"/>
    <w:qFormat/>
    <w:pPr>
      <w:jc w:val="both"/>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2000-03-10T15:15:00Z</dcterms:created>
  <dc:creator>Rick B. Antonoff</dc:creator>
  <dc:description/>
  <dc:language>en-CA</dc:language>
  <cp:lastModifiedBy>Rick B. Antonoff</cp:lastModifiedBy>
  <cp:lastPrinted>2000-03-10T01:29:00Z</cp:lastPrinted>
  <dcterms:modified xsi:type="dcterms:W3CDTF">2000-03-10T15:15:00Z</dcterms:modified>
  <cp:revision>2</cp:revision>
  <dc:subject/>
  <dc:title>CWT Normal.dot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CWT\NYLIB2\109563.2</vt:lpwstr>
  </property>
  <property fmtid="{D5CDD505-2E9C-101B-9397-08002B2CF9AE}" pid="4" name="PCDOCS ID Short">
    <vt:lpwstr>109563.2</vt:lpwstr>
  </property>
</Properties>
</file>