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725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  <w:sz w:val="36"/>
        </w:rPr>
        <w:t>NUI Corporation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4541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  <w:sz w:val="28"/>
        </w:rPr>
        <w:t>Marketer Final Allocation</w:t>
      </w:r>
    </w:p>
    <w:p>
      <w:pPr>
        <w:pStyle w:val="Normal"/>
        <w:tabs>
          <w:tab w:val="clear" w:pos="720"/>
          <w:tab w:val="left" w:pos="5276" w:leader="none"/>
          <w:tab w:val="left" w:pos="6222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80"/>
        </w:rPr>
        <w:t>05/04/00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 xml:space="preserve"> 2:42PM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240" w:leader="none"/>
          <w:tab w:val="left" w:pos="2587" w:leader="none"/>
          <w:tab w:val="left" w:pos="4873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  <w:sz w:val="22"/>
        </w:rPr>
        <w:t>FTS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  <w:sz w:val="22"/>
        </w:rPr>
        <w:t>Total Available: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  <w:sz w:val="22"/>
        </w:rPr>
        <w:t>48,000</w:t>
      </w:r>
    </w:p>
    <w:p>
      <w:pPr>
        <w:pStyle w:val="Normal"/>
        <w:tabs>
          <w:tab w:val="clear" w:pos="720"/>
          <w:tab w:val="left" w:pos="960" w:leader="none"/>
          <w:tab w:val="left" w:pos="4800" w:leader="none"/>
          <w:tab w:val="left" w:pos="8478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Margate Tenant Corp.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011-0002718-013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3,351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960" w:leader="none"/>
          <w:tab w:val="left" w:pos="4800" w:leader="none"/>
          <w:tab w:val="left" w:pos="8831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Marriott Laundry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111-0001684-001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0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960" w:leader="none"/>
          <w:tab w:val="left" w:pos="4800" w:leader="none"/>
          <w:tab w:val="left" w:pos="8478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Custom Alloy Corp.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111-0044851-001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6,234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960" w:leader="none"/>
          <w:tab w:val="left" w:pos="4800" w:leader="none"/>
          <w:tab w:val="left" w:pos="8478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GATX Terminals Corporation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111-0128937-001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9,758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960" w:leader="none"/>
          <w:tab w:val="left" w:pos="4800" w:leader="none"/>
          <w:tab w:val="left" w:pos="8478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Marriott Laundry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111-0150518-001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6,427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960" w:leader="none"/>
          <w:tab w:val="left" w:pos="4800" w:leader="none"/>
          <w:tab w:val="left" w:pos="8378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SYCOM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111-0233818-001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23,264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240" w:leader="none"/>
          <w:tab w:val="left" w:pos="2587" w:leader="none"/>
          <w:tab w:val="left" w:pos="4873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  <w:sz w:val="22"/>
        </w:rPr>
        <w:t>GTS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  <w:sz w:val="22"/>
        </w:rPr>
        <w:t>Total Available: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  <w:sz w:val="22"/>
        </w:rPr>
        <w:t>12,160</w:t>
      </w:r>
    </w:p>
    <w:p>
      <w:pPr>
        <w:pStyle w:val="Normal"/>
        <w:tabs>
          <w:tab w:val="clear" w:pos="720"/>
          <w:tab w:val="left" w:pos="960" w:leader="none"/>
          <w:tab w:val="left" w:pos="4800" w:leader="none"/>
          <w:tab w:val="left" w:pos="8478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Mulberry Metal Products, Inc./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031-0205070-011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1,261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960" w:leader="none"/>
          <w:tab w:val="left" w:pos="4800" w:leader="none"/>
          <w:tab w:val="left" w:pos="8478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Rolex Co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081-0140076-011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1,358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960" w:leader="none"/>
          <w:tab w:val="left" w:pos="4800" w:leader="none"/>
          <w:tab w:val="left" w:pos="8478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Med-apparel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081-0217158-013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1,604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960" w:leader="none"/>
          <w:tab w:val="left" w:pos="4800" w:leader="none"/>
          <w:tab w:val="left" w:pos="8478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Solar Compounds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111-0122312-001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3,001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960" w:leader="none"/>
          <w:tab w:val="left" w:pos="4800" w:leader="none"/>
          <w:tab w:val="left" w:pos="863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William Grant &amp; Sons Inc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111-0166534-001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617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960" w:leader="none"/>
          <w:tab w:val="left" w:pos="4800" w:leader="none"/>
          <w:tab w:val="left" w:pos="863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Perth Amboy Pump Station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112-0024987-001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387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240" w:leader="none"/>
          <w:tab w:val="left" w:pos="2587" w:leader="none"/>
          <w:tab w:val="left" w:pos="4983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  <w:sz w:val="22"/>
        </w:rPr>
        <w:t>ITS/IPF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  <w:sz w:val="22"/>
        </w:rPr>
        <w:t>Total Available: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  <w:sz w:val="22"/>
        </w:rPr>
        <w:t>2,250</w:t>
      </w:r>
    </w:p>
    <w:p>
      <w:pPr>
        <w:pStyle w:val="Normal"/>
        <w:tabs>
          <w:tab w:val="clear" w:pos="720"/>
          <w:tab w:val="left" w:pos="960" w:leader="none"/>
          <w:tab w:val="left" w:pos="4800" w:leader="none"/>
          <w:tab w:val="left" w:pos="8478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Middlesex County Utilities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112-0021163-001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2,286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240" w:leader="none"/>
          <w:tab w:val="left" w:pos="2587" w:leader="none"/>
          <w:tab w:val="left" w:pos="4983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  <w:sz w:val="22"/>
        </w:rPr>
        <w:t>ITS/IS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  <w:sz w:val="22"/>
        </w:rPr>
        <w:t>Total Available: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  <w:sz w:val="22"/>
        </w:rPr>
        <w:t>2,250</w:t>
      </w:r>
    </w:p>
    <w:p>
      <w:pPr>
        <w:pStyle w:val="Normal"/>
        <w:tabs>
          <w:tab w:val="clear" w:pos="720"/>
          <w:tab w:val="left" w:pos="960" w:leader="none"/>
          <w:tab w:val="left" w:pos="4800" w:leader="none"/>
          <w:tab w:val="left" w:pos="8478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Janssen Pharm Inc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111-0122819-001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</w:rPr>
        <w:t>1,703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535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</w:rPr>
        <w:t>ADDQ Breakdown: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5950" w:leader="none"/>
          <w:tab w:val="left" w:pos="8602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  <w:u w:val="single"/>
        </w:rPr>
        <w:t>Rate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  <w:u w:val="single"/>
        </w:rPr>
        <w:t>ADDQ</w:t>
      </w:r>
    </w:p>
    <w:p>
      <w:pPr>
        <w:pStyle w:val="Normal"/>
        <w:tabs>
          <w:tab w:val="clear" w:pos="720"/>
          <w:tab w:val="left" w:pos="7055" w:leader="none"/>
          <w:tab w:val="left" w:pos="8763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</w:rPr>
        <w:t>SBTS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</w:rPr>
        <w:t>1,140</w:t>
      </w:r>
    </w:p>
    <w:p>
      <w:pPr>
        <w:pStyle w:val="Normal"/>
        <w:tabs>
          <w:tab w:val="clear" w:pos="720"/>
          <w:tab w:val="left" w:pos="7031" w:leader="none"/>
          <w:tab w:val="left" w:pos="8663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</w:rPr>
        <w:t>SGTS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</w:rPr>
        <w:t>65,670</w:t>
      </w:r>
    </w:p>
    <w:p>
      <w:pPr>
        <w:pStyle w:val="Normal"/>
        <w:tabs>
          <w:tab w:val="clear" w:pos="720"/>
          <w:tab w:val="left" w:pos="6670" w:leader="none"/>
          <w:tab w:val="left" w:pos="8663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</w:rPr>
        <w:t>Total 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</w:rPr>
        <w:t>66,810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4922" w:leader="none"/>
          <w:tab w:val="left" w:pos="911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</w:rPr>
        <w:t xml:space="preserve">Previous Month Carry Over: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</w:rPr>
        <w:t>0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5369" w:leader="none"/>
          <w:tab w:val="left" w:pos="8657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</w:rPr>
        <w:t xml:space="preserve">Total ADDQ Deducted: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</w:rPr>
        <w:t>66,810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3924" w:leader="none"/>
          <w:tab w:val="left" w:pos="8556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</w:rPr>
        <w:t xml:space="preserve">Total Delivery (incl. ADDQ) this Month: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</w:rPr>
        <w:t>131,470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6005" w:leader="none"/>
          <w:tab w:val="left" w:pos="8657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</w:rPr>
        <w:t xml:space="preserve">Total Available: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color w:val="000000"/>
        </w:rPr>
        <w:t>64,660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360" w:right="360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5110" w:leader="none"/>
        <w:tab w:val="left" w:pos="5794" w:leader="none"/>
        <w:tab w:val="left" w:pos="6074" w:leader="none"/>
        <w:tab w:val="left" w:pos="6489" w:leader="none"/>
      </w:tabs>
      <w:bidi w:val="0"/>
      <w:jc w:val="star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  <w:r>
      <w:rPr>
        <w:rFonts w:ascii="Times New Roman" w:hAnsi="Times New Roman"/>
        <w:color w:val="000000"/>
      </w:rPr>
      <w:t>Page</w:t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color w:val="000080"/>
      </w:rPr>
      <w:fldChar w:fldCharType="begin"/>
    </w:r>
    <w:r>
      <w:rPr>
        <w:rFonts w:ascii="Times New Roman" w:hAnsi="Times New Roman"/>
        <w:color w:val="000080"/>
      </w:rPr>
      <w:instrText xml:space="preserve"> PAGE </w:instrText>
    </w:r>
    <w:r>
      <w:rPr>
        <w:rFonts w:ascii="Times New Roman" w:hAnsi="Times New Roman"/>
        <w:color w:val="000080"/>
      </w:rPr>
      <w:fldChar w:fldCharType="separate"/>
    </w:r>
    <w:r>
      <w:rPr>
        <w:rFonts w:ascii="Times New Roman" w:hAnsi="Times New Roman"/>
        <w:color w:val="000080"/>
      </w:rPr>
      <w:t>2</w:t>
    </w:r>
    <w:r>
      <w:rPr>
        <w:rFonts w:ascii="Times New Roman" w:hAnsi="Times New Roman"/>
        <w:color w:val="000080"/>
      </w:rPr>
      <w:fldChar w:fldCharType="end"/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color w:val="000000"/>
      </w:rPr>
      <w:t>of</w:t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color w:val="000000"/>
      </w:rPr>
      <w:t>1</w:t>
    </w:r>
  </w:p>
  <w:p>
    <w:pPr>
      <w:pStyle w:val="Normal"/>
      <w:bidi w:val="0"/>
      <w:jc w:val="star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5110" w:leader="none"/>
        <w:tab w:val="left" w:pos="5794" w:leader="none"/>
        <w:tab w:val="left" w:pos="6074" w:leader="none"/>
        <w:tab w:val="left" w:pos="6489" w:leader="none"/>
      </w:tabs>
      <w:bidi w:val="0"/>
      <w:jc w:val="star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  <w:r>
      <w:rPr>
        <w:rFonts w:ascii="Times New Roman" w:hAnsi="Times New Roman"/>
        <w:color w:val="000000"/>
      </w:rPr>
      <w:t>Page</w:t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color w:val="000080"/>
      </w:rPr>
      <w:fldChar w:fldCharType="begin"/>
    </w:r>
    <w:r>
      <w:rPr>
        <w:rFonts w:ascii="Times New Roman" w:hAnsi="Times New Roman"/>
        <w:color w:val="000080"/>
      </w:rPr>
      <w:instrText xml:space="preserve"> PAGE </w:instrText>
    </w:r>
    <w:r>
      <w:rPr>
        <w:rFonts w:ascii="Times New Roman" w:hAnsi="Times New Roman"/>
        <w:color w:val="000080"/>
      </w:rPr>
      <w:fldChar w:fldCharType="separate"/>
    </w:r>
    <w:r>
      <w:rPr>
        <w:rFonts w:ascii="Times New Roman" w:hAnsi="Times New Roman"/>
        <w:color w:val="000080"/>
      </w:rPr>
      <w:t>2</w:t>
    </w:r>
    <w:r>
      <w:rPr>
        <w:rFonts w:ascii="Times New Roman" w:hAnsi="Times New Roman"/>
        <w:color w:val="000080"/>
      </w:rPr>
      <w:fldChar w:fldCharType="end"/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color w:val="000000"/>
      </w:rPr>
      <w:t>of</w:t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color w:val="000000"/>
      </w:rPr>
      <w:t>1</w:t>
    </w:r>
  </w:p>
  <w:p>
    <w:pPr>
      <w:pStyle w:val="Normal"/>
      <w:bidi w:val="0"/>
      <w:jc w:val="star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40" w:leader="none"/>
        <w:tab w:val="left" w:pos="1320" w:leader="none"/>
      </w:tabs>
      <w:bidi w:val="0"/>
      <w:jc w:val="star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  <w:r>
      <w:rPr>
        <w:rFonts w:ascii="Times New Roman" w:hAnsi="Times New Roman"/>
        <w:b/>
        <w:color w:val="000000"/>
        <w:sz w:val="24"/>
      </w:rPr>
      <w:t xml:space="preserve">Marketer: </w:t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b/>
        <w:color w:val="000000"/>
        <w:sz w:val="24"/>
      </w:rPr>
      <w:t>Enron Energy Services</w:t>
    </w:r>
  </w:p>
  <w:p>
    <w:pPr>
      <w:pStyle w:val="Normal"/>
      <w:bidi w:val="0"/>
      <w:jc w:val="star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  <w:p>
    <w:pPr>
      <w:pStyle w:val="Normal"/>
      <w:tabs>
        <w:tab w:val="clear" w:pos="720"/>
        <w:tab w:val="left" w:pos="4080" w:leader="none"/>
        <w:tab w:val="left" w:pos="6840" w:leader="none"/>
      </w:tabs>
      <w:bidi w:val="0"/>
      <w:jc w:val="star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  <w:r>
      <w:rPr>
        <w:rFonts w:ascii="Times New Roman" w:hAnsi="Times New Roman"/>
        <w:b/>
        <w:color w:val="000000"/>
        <w:sz w:val="22"/>
      </w:rPr>
      <w:t xml:space="preserve">Deliveries included up to: </w:t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b/>
        <w:color w:val="000000"/>
        <w:sz w:val="22"/>
      </w:rPr>
      <w:t>April 30, 2000</w:t>
    </w:r>
  </w:p>
  <w:p>
    <w:pPr>
      <w:pStyle w:val="Normal"/>
      <w:bidi w:val="0"/>
      <w:jc w:val="star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  <w:p>
    <w:pPr>
      <w:pStyle w:val="Normal"/>
      <w:bidi w:val="0"/>
      <w:jc w:val="star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  <w:p>
    <w:pPr>
      <w:pStyle w:val="Normal"/>
      <w:tabs>
        <w:tab w:val="clear" w:pos="720"/>
        <w:tab w:val="left" w:pos="1320" w:leader="none"/>
      </w:tabs>
      <w:bidi w:val="0"/>
      <w:jc w:val="star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  <w:r>
      <w:rPr>
        <w:rFonts w:ascii="Times New Roman" w:hAnsi="Times New Roman"/>
        <w:b/>
        <w:color w:val="000000"/>
        <w:sz w:val="24"/>
      </w:rPr>
      <w:t>April 2000</w:t>
    </w:r>
  </w:p>
  <w:p>
    <w:pPr>
      <w:pStyle w:val="Normal"/>
      <w:bidi w:val="0"/>
      <w:jc w:val="star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  <w:p>
    <w:pPr>
      <w:pStyle w:val="Normal"/>
      <w:tabs>
        <w:tab w:val="clear" w:pos="720"/>
        <w:tab w:val="left" w:pos="960" w:leader="none"/>
        <w:tab w:val="left" w:pos="4800" w:leader="none"/>
        <w:tab w:val="left" w:pos="7365" w:leader="none"/>
      </w:tabs>
      <w:bidi w:val="0"/>
      <w:jc w:val="star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  <w:r>
      <w:rPr>
        <w:rFonts w:ascii="Times New Roman" w:hAnsi="Times New Roman"/>
        <w:b/>
        <w:color w:val="000000"/>
      </w:rPr>
      <w:t>Company Name</w:t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b/>
        <w:color w:val="000000"/>
      </w:rPr>
      <w:t>LDC Acct No.</w:t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b/>
        <w:color w:val="000000"/>
      </w:rPr>
      <w:t>Mthly/Final Allocation</w:t>
    </w:r>
  </w:p>
  <w:p>
    <w:pPr>
      <w:pStyle w:val="Normal"/>
      <w:bidi w:val="0"/>
      <w:jc w:val="star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40" w:leader="none"/>
        <w:tab w:val="left" w:pos="1320" w:leader="none"/>
      </w:tabs>
      <w:bidi w:val="0"/>
      <w:jc w:val="star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  <w:r>
      <w:rPr>
        <w:rFonts w:ascii="Times New Roman" w:hAnsi="Times New Roman"/>
        <w:b/>
        <w:color w:val="000000"/>
        <w:sz w:val="24"/>
      </w:rPr>
      <w:t xml:space="preserve">Marketer: </w:t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b/>
        <w:color w:val="000000"/>
        <w:sz w:val="24"/>
      </w:rPr>
      <w:t>Enron Energy Services</w:t>
    </w:r>
  </w:p>
  <w:p>
    <w:pPr>
      <w:pStyle w:val="Normal"/>
      <w:bidi w:val="0"/>
      <w:jc w:val="star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  <w:p>
    <w:pPr>
      <w:pStyle w:val="Normal"/>
      <w:tabs>
        <w:tab w:val="clear" w:pos="720"/>
        <w:tab w:val="left" w:pos="4080" w:leader="none"/>
        <w:tab w:val="left" w:pos="6840" w:leader="none"/>
      </w:tabs>
      <w:bidi w:val="0"/>
      <w:jc w:val="star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  <w:r>
      <w:rPr>
        <w:rFonts w:ascii="Times New Roman" w:hAnsi="Times New Roman"/>
        <w:b/>
        <w:color w:val="000000"/>
        <w:sz w:val="22"/>
      </w:rPr>
      <w:t xml:space="preserve">Deliveries included up to: </w:t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b/>
        <w:color w:val="000000"/>
        <w:sz w:val="22"/>
      </w:rPr>
      <w:t>April 30, 2000</w:t>
    </w:r>
  </w:p>
  <w:p>
    <w:pPr>
      <w:pStyle w:val="Normal"/>
      <w:bidi w:val="0"/>
      <w:jc w:val="star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  <w:p>
    <w:pPr>
      <w:pStyle w:val="Normal"/>
      <w:bidi w:val="0"/>
      <w:jc w:val="star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  <w:p>
    <w:pPr>
      <w:pStyle w:val="Normal"/>
      <w:tabs>
        <w:tab w:val="clear" w:pos="720"/>
        <w:tab w:val="left" w:pos="1320" w:leader="none"/>
      </w:tabs>
      <w:bidi w:val="0"/>
      <w:jc w:val="star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  <w:r>
      <w:rPr>
        <w:rFonts w:ascii="Times New Roman" w:hAnsi="Times New Roman"/>
        <w:b/>
        <w:color w:val="000000"/>
        <w:sz w:val="24"/>
      </w:rPr>
      <w:t>April 2000</w:t>
    </w:r>
  </w:p>
  <w:p>
    <w:pPr>
      <w:pStyle w:val="Normal"/>
      <w:bidi w:val="0"/>
      <w:jc w:val="star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  <w:p>
    <w:pPr>
      <w:pStyle w:val="Normal"/>
      <w:tabs>
        <w:tab w:val="clear" w:pos="720"/>
        <w:tab w:val="left" w:pos="960" w:leader="none"/>
        <w:tab w:val="left" w:pos="4800" w:leader="none"/>
        <w:tab w:val="left" w:pos="7365" w:leader="none"/>
      </w:tabs>
      <w:bidi w:val="0"/>
      <w:jc w:val="star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  <w:r>
      <w:rPr>
        <w:rFonts w:ascii="Times New Roman" w:hAnsi="Times New Roman"/>
        <w:b/>
        <w:color w:val="000000"/>
      </w:rPr>
      <w:t>Company Name</w:t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b/>
        <w:color w:val="000000"/>
      </w:rPr>
      <w:t>LDC Acct No.</w:t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b/>
        <w:color w:val="000000"/>
      </w:rPr>
      <w:t>Mthly/Final Allocation</w:t>
    </w:r>
  </w:p>
  <w:p>
    <w:pPr>
      <w:pStyle w:val="Normal"/>
      <w:bidi w:val="0"/>
      <w:jc w:val="star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</w:hdr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19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/>
  <dc:language>en-US</dc:language>
  <cp:lastModifiedBy/>
  <cp:revision>0</cp:revision>
  <dc:subject/>
  <dc:title/>
</cp:coreProperties>
</file>