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September 19, 2001</w:t>
        <w:tab/>
        <w:tab/>
        <w:tab/>
        <w:tab/>
        <w:tab/>
        <w:tab/>
        <w:tab/>
        <w:tab/>
        <w:tab/>
      </w:r>
    </w:p>
    <w:p>
      <w:pPr>
        <w:pStyle w:val="Normal"/>
        <w:jc w:val="center"/>
        <w:rPr>
          <w:sz w:val="20"/>
        </w:rPr>
      </w:pPr>
      <w:r>
        <w:rPr>
          <w:sz w:val="20"/>
        </w:rPr>
      </w:r>
    </w:p>
    <w:p>
      <w:pPr>
        <w:pStyle w:val="Heading1"/>
        <w:ind w:hanging="0" w:start="0"/>
        <w:rPr>
          <w:sz w:val="20"/>
        </w:rPr>
      </w:pPr>
      <w:r>
        <w:rPr>
          <w:sz w:val="20"/>
        </w:rPr>
      </w:r>
    </w:p>
    <w:p>
      <w:pPr>
        <w:pStyle w:val="Normal"/>
        <w:jc w:val="both"/>
        <w:rPr>
          <w:sz w:val="20"/>
        </w:rPr>
      </w:pPr>
      <w:r>
        <w:rPr>
          <w:sz w:val="20"/>
        </w:rPr>
      </w:r>
    </w:p>
    <w:p>
      <w:pPr>
        <w:pStyle w:val="Normal"/>
        <w:jc w:val="both"/>
        <w:rPr>
          <w:sz w:val="20"/>
        </w:rPr>
      </w:pPr>
      <w:r>
        <w:rPr>
          <w:sz w:val="20"/>
        </w:rPr>
        <w:t>Energy Derivative Counterparties (collectively, “Counterparties”, and individually, a “Counterparty”) of Enron North America Corp. (“ENA”)</w:t>
      </w:r>
    </w:p>
    <w:p>
      <w:pPr>
        <w:pStyle w:val="Normal"/>
        <w:jc w:val="both"/>
        <w:rPr>
          <w:sz w:val="20"/>
        </w:rPr>
      </w:pPr>
      <w:r>
        <w:rPr>
          <w:sz w:val="20"/>
        </w:rPr>
      </w:r>
    </w:p>
    <w:p>
      <w:pPr>
        <w:pStyle w:val="Normal"/>
        <w:jc w:val="both"/>
        <w:rPr>
          <w:sz w:val="20"/>
        </w:rPr>
      </w:pPr>
      <w:r>
        <w:rPr>
          <w:sz w:val="20"/>
        </w:rPr>
        <w:t>Dear ENA Counterparty:</w:t>
      </w:r>
    </w:p>
    <w:p>
      <w:pPr>
        <w:pStyle w:val="Normal"/>
        <w:jc w:val="both"/>
        <w:rPr>
          <w:sz w:val="20"/>
        </w:rPr>
      </w:pPr>
      <w:r>
        <w:rPr>
          <w:sz w:val="20"/>
        </w:rPr>
      </w:r>
    </w:p>
    <w:p>
      <w:pPr>
        <w:pStyle w:val="BodyText"/>
        <w:rPr/>
      </w:pPr>
      <w:r>
        <w:rPr/>
        <w:t xml:space="preserve">As a result of the events of September 11, 2001, several energy price sources, including NYMEX, Platt’s and OPIS, have failed to announce or publish prices for one or more days.  In an effort to promote orderly valuation and settlement of positions between ENA and its Counterparties in this unprecedented situation, ENA would like to adopt the course of action suggested in the ISDA Best Practices Statement issued on September 14, 2001.  </w:t>
      </w:r>
    </w:p>
    <w:p>
      <w:pPr>
        <w:pStyle w:val="BodyText"/>
        <w:rPr/>
      </w:pPr>
      <w:r>
        <w:rPr/>
        <w:t xml:space="preserve">ENA therefore requests your agreement to the following methodology as the basis for determining the floating price for energy commodity derivative transactions affected by recent events, however documented: </w:t>
      </w:r>
    </w:p>
    <w:p>
      <w:pPr>
        <w:pStyle w:val="Normal"/>
        <w:numPr>
          <w:ilvl w:val="0"/>
          <w:numId w:val="2"/>
        </w:numPr>
        <w:spacing w:before="0" w:after="120"/>
        <w:ind w:hanging="389" w:start="749" w:end="0"/>
        <w:jc w:val="both"/>
        <w:rPr>
          <w:sz w:val="20"/>
        </w:rPr>
      </w:pPr>
      <w:r>
        <w:rPr>
          <w:sz w:val="20"/>
        </w:rPr>
        <w:t>for NYMEX based prices, use the NYMEX closing price for the first trading day following the market disruption for each disrupted trading day;</w:t>
      </w:r>
    </w:p>
    <w:p>
      <w:pPr>
        <w:pStyle w:val="Normal"/>
        <w:numPr>
          <w:ilvl w:val="0"/>
          <w:numId w:val="2"/>
        </w:numPr>
        <w:spacing w:before="0" w:after="120"/>
        <w:ind w:hanging="389" w:start="749" w:end="0"/>
        <w:jc w:val="both"/>
        <w:rPr>
          <w:sz w:val="20"/>
        </w:rPr>
      </w:pPr>
      <w:r>
        <w:rPr>
          <w:sz w:val="20"/>
        </w:rPr>
        <w:t>for Platt’s Oilgram, Platt’s U.S. or OPIS, exclude trading days on which Platt’s Oilgram, Platt’s U.S. or OPIS did not publish;</w:t>
      </w:r>
    </w:p>
    <w:p>
      <w:pPr>
        <w:pStyle w:val="Normal"/>
        <w:numPr>
          <w:ilvl w:val="0"/>
          <w:numId w:val="2"/>
        </w:numPr>
        <w:spacing w:before="0" w:after="120"/>
        <w:ind w:hanging="389" w:start="749" w:end="0"/>
        <w:jc w:val="both"/>
        <w:rPr>
          <w:sz w:val="20"/>
        </w:rPr>
      </w:pPr>
      <w:r>
        <w:rPr>
          <w:sz w:val="20"/>
        </w:rPr>
        <w:t>for spreads including (i) NYMEX and (ii) Platt’s Oilgram, Platt’s U.S. or OPIS, exclude trading days on which Platt’s Oilgram, Platt’s U.S. or OPIS did not publish, regardless of whether NYMEX announced a daily closing price for such day(s) (common pricing); and</w:t>
      </w:r>
    </w:p>
    <w:p>
      <w:pPr>
        <w:pStyle w:val="Normal"/>
        <w:numPr>
          <w:ilvl w:val="0"/>
          <w:numId w:val="2"/>
        </w:numPr>
        <w:spacing w:before="0" w:after="120"/>
        <w:ind w:hanging="389" w:start="749" w:end="0"/>
        <w:jc w:val="both"/>
        <w:rPr>
          <w:sz w:val="20"/>
        </w:rPr>
      </w:pPr>
      <w:r>
        <w:rPr>
          <w:sz w:val="20"/>
        </w:rPr>
        <w:t>for spreads including (i) NYMEX and (ii) IPE (or any other price source which published), include trading days on which NYMEX and/or IPE (or any other price source which published) published prices and apply the NYMEX price as determined under (a) above, as required (non-common pricing)</w:t>
      </w:r>
    </w:p>
    <w:p>
      <w:pPr>
        <w:pStyle w:val="Normal"/>
        <w:spacing w:before="0" w:after="120"/>
        <w:jc w:val="both"/>
        <w:rPr>
          <w:sz w:val="20"/>
        </w:rPr>
      </w:pPr>
      <w:r>
        <w:rPr>
          <w:sz w:val="20"/>
        </w:rPr>
        <w:t>Please confirm your agreement to the foregoing by promptly signing, dating and returning this letter to us by facsimile to Kim Theriot at (713) 646-2495.  If you do not agree to the foregoing methodology, we will revert to the terms and conditions relating to alternative pricing in accordance with our agreement.</w:t>
      </w:r>
    </w:p>
    <w:p>
      <w:pPr>
        <w:pStyle w:val="Normal"/>
        <w:jc w:val="both"/>
        <w:rPr>
          <w:sz w:val="20"/>
        </w:rPr>
      </w:pPr>
      <w:r>
        <w:rPr>
          <w:sz w:val="20"/>
        </w:rPr>
        <w:tab/>
        <w:tab/>
        <w:tab/>
        <w:tab/>
        <w:tab/>
        <w:tab/>
      </w:r>
    </w:p>
    <w:p>
      <w:pPr>
        <w:pStyle w:val="Normal"/>
        <w:ind w:firstLine="720" w:start="3600" w:end="0"/>
        <w:jc w:val="both"/>
        <w:rPr>
          <w:sz w:val="20"/>
        </w:rPr>
      </w:pPr>
      <w:r>
        <w:rPr>
          <w:sz w:val="20"/>
        </w:rPr>
        <w:t>Very truly yours,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ab/>
        <w:tab/>
        <w:tab/>
        <w:tab/>
        <w:tab/>
        <w:tab/>
      </w:r>
    </w:p>
    <w:p>
      <w:pPr>
        <w:pStyle w:val="Normal"/>
        <w:ind w:firstLine="720" w:start="3600" w:end="0"/>
        <w:jc w:val="both"/>
        <w:rPr>
          <w:sz w:val="20"/>
        </w:rPr>
      </w:pPr>
      <w:r>
        <w:rPr>
          <w:sz w:val="20"/>
        </w:rPr>
        <w:t>Enron North America Corp.</w:t>
      </w:r>
    </w:p>
    <w:p>
      <w:pPr>
        <w:pStyle w:val="Normal"/>
        <w:jc w:val="both"/>
        <w:rPr>
          <w:sz w:val="20"/>
        </w:rPr>
      </w:pPr>
      <w:r>
        <w:rPr>
          <w:sz w:val="20"/>
        </w:rPr>
        <w:tab/>
        <w:tab/>
        <w:tab/>
        <w:tab/>
        <w:tab/>
        <w:tab/>
        <w:t>By:  John L. Nowlan, Vice President</w:t>
      </w:r>
    </w:p>
    <w:p>
      <w:pPr>
        <w:pStyle w:val="Normal"/>
        <w:jc w:val="both"/>
        <w:rPr>
          <w:sz w:val="20"/>
        </w:rPr>
      </w:pPr>
      <w:r>
        <w:rPr>
          <w:sz w:val="20"/>
        </w:rPr>
      </w:r>
    </w:p>
    <w:p>
      <w:pPr>
        <w:pStyle w:val="Normal"/>
        <w:jc w:val="both"/>
        <w:rPr>
          <w:sz w:val="20"/>
        </w:rPr>
      </w:pPr>
      <w:r>
        <w:rPr>
          <w:sz w:val="20"/>
        </w:rPr>
        <w:t>CONFIRMED AND AGREED:</w:t>
      </w:r>
    </w:p>
    <w:p>
      <w:pPr>
        <w:pStyle w:val="Normal"/>
        <w:jc w:val="both"/>
        <w:rPr>
          <w:sz w:val="20"/>
        </w:rPr>
      </w:pPr>
      <w:r>
        <w:rPr>
          <w:sz w:val="20"/>
        </w:rPr>
      </w:r>
    </w:p>
    <w:p>
      <w:pPr>
        <w:pStyle w:val="Normal"/>
        <w:jc w:val="both"/>
        <w:rPr>
          <w:sz w:val="20"/>
        </w:rPr>
      </w:pPr>
      <w:r>
        <w:rPr>
          <w:sz w:val="20"/>
        </w:rPr>
        <w:t>COMPANY</w:t>
        <w:tab/>
        <w:t>_________________________</w:t>
      </w:r>
    </w:p>
    <w:p>
      <w:pPr>
        <w:pStyle w:val="Normal"/>
        <w:jc w:val="both"/>
        <w:rPr>
          <w:sz w:val="20"/>
        </w:rPr>
      </w:pPr>
      <w:r>
        <w:rPr>
          <w:sz w:val="20"/>
        </w:rPr>
      </w:r>
    </w:p>
    <w:p>
      <w:pPr>
        <w:pStyle w:val="Normal"/>
        <w:jc w:val="both"/>
        <w:rPr>
          <w:sz w:val="20"/>
        </w:rPr>
      </w:pPr>
      <w:r>
        <w:rPr>
          <w:sz w:val="20"/>
        </w:rPr>
        <w:t>BY:</w:t>
        <w:tab/>
        <w:tab/>
        <w:t>_________________________</w:t>
      </w:r>
    </w:p>
    <w:p>
      <w:pPr>
        <w:pStyle w:val="Normal"/>
        <w:jc w:val="both"/>
        <w:rPr>
          <w:sz w:val="20"/>
        </w:rPr>
      </w:pPr>
      <w:r>
        <w:rPr>
          <w:sz w:val="20"/>
        </w:rPr>
      </w:r>
    </w:p>
    <w:p>
      <w:pPr>
        <w:pStyle w:val="Normal"/>
        <w:jc w:val="both"/>
        <w:rPr>
          <w:sz w:val="20"/>
        </w:rPr>
      </w:pPr>
      <w:r>
        <w:rPr>
          <w:sz w:val="20"/>
        </w:rPr>
        <w:t>NAME:</w:t>
        <w:tab/>
        <w:tab/>
        <w:t>_________________________</w:t>
      </w:r>
    </w:p>
    <w:p>
      <w:pPr>
        <w:pStyle w:val="Normal"/>
        <w:jc w:val="both"/>
        <w:rPr>
          <w:sz w:val="20"/>
        </w:rPr>
      </w:pPr>
      <w:r>
        <w:rPr>
          <w:sz w:val="20"/>
        </w:rPr>
      </w:r>
    </w:p>
    <w:p>
      <w:pPr>
        <w:pStyle w:val="Normal"/>
        <w:jc w:val="both"/>
        <w:rPr>
          <w:sz w:val="20"/>
        </w:rPr>
      </w:pPr>
      <w:r>
        <w:rPr>
          <w:sz w:val="20"/>
        </w:rPr>
        <w:t>TITLE:</w:t>
        <w:tab/>
        <w:tab/>
        <w:t>_________________________</w:t>
      </w:r>
    </w:p>
    <w:p>
      <w:pPr>
        <w:pStyle w:val="Normal"/>
        <w:jc w:val="both"/>
        <w:rPr>
          <w:sz w:val="20"/>
        </w:rPr>
      </w:pPr>
      <w:r>
        <w:rPr>
          <w:sz w:val="20"/>
        </w:rPr>
      </w:r>
    </w:p>
    <w:p>
      <w:pPr>
        <w:pStyle w:val="Normal"/>
        <w:jc w:val="both"/>
        <w:rPr>
          <w:sz w:val="20"/>
        </w:rPr>
      </w:pPr>
      <w:r>
        <w:rPr>
          <w:sz w:val="20"/>
        </w:rPr>
        <w:t>DATE:</w:t>
        <w:tab/>
        <w:tab/>
        <w:t>September __, 2001</w:t>
      </w:r>
    </w:p>
    <w:sectPr>
      <w:footerReference w:type="default" r:id="rId2"/>
      <w:type w:val="nextPage"/>
      <w:pgSz w:w="12240" w:h="15840"/>
      <w:pgMar w:left="1152" w:right="1152"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50"/>
        </w:tabs>
        <w:ind w:start="750" w:hanging="39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2001-09-18T19:24:00Z</dcterms:created>
  <dc:creator>kellis</dc:creator>
  <dc:description/>
  <dc:language>en-CA</dc:language>
  <cp:lastModifiedBy>sshackl</cp:lastModifiedBy>
  <cp:lastPrinted>2001-09-19T14:28:00Z</cp:lastPrinted>
  <dcterms:modified xsi:type="dcterms:W3CDTF">2001-09-19T16:58:00Z</dcterms:modified>
  <cp:revision>10</cp:revision>
  <dc:subject/>
  <dc:title>March 21, 2001</dc:title>
</cp:coreProperties>
</file>