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ame"/>
        <w:rPr/>
      </w:pPr>
      <w:r>
        <w:rPr/>
        <w:t>Mark Whitt</w:t>
      </w:r>
    </w:p>
    <w:tbl>
      <w:tblPr>
        <w:tblW w:w="4950" w:type="pct"/>
        <w:jc w:val="start"/>
        <w:tblInd w:w="0" w:type="dxa"/>
        <w:tblLayout w:type="fixed"/>
        <w:tblCellMar>
          <w:top w:w="0" w:type="dxa"/>
          <w:start w:w="108" w:type="dxa"/>
          <w:bottom w:w="0" w:type="dxa"/>
          <w:end w:w="108" w:type="dxa"/>
        </w:tblCellMar>
      </w:tblPr>
      <w:tblGrid>
        <w:gridCol w:w="1988"/>
        <w:gridCol w:w="7848"/>
      </w:tblGrid>
      <w:tr>
        <w:trPr/>
        <w:tc>
          <w:tcPr>
            <w:tcW w:w="9836" w:type="dxa"/>
            <w:gridSpan w:val="2"/>
            <w:tcBorders/>
          </w:tcPr>
          <w:p>
            <w:pPr>
              <w:pStyle w:val="SectionTitle"/>
              <w:pBdr>
                <w:bottom w:val="single" w:sz="6" w:space="1" w:color="808080"/>
              </w:pBdr>
              <w:spacing w:lineRule="atLeast" w:line="220" w:before="220" w:after="0"/>
              <w:jc w:val="start"/>
              <w:rPr/>
            </w:pPr>
            <w:r>
              <w:rPr/>
              <w:t>Experience</w:t>
            </w:r>
          </w:p>
        </w:tc>
      </w:tr>
      <w:tr>
        <w:trPr/>
        <w:tc>
          <w:tcPr>
            <w:tcW w:w="1988" w:type="dxa"/>
            <w:tcBorders/>
          </w:tcPr>
          <w:p>
            <w:pPr>
              <w:pStyle w:val="NoTitle"/>
              <w:snapToGrid w:val="false"/>
              <w:spacing w:before="220" w:after="0"/>
              <w:rPr/>
            </w:pPr>
            <w:r>
              <w:rPr/>
            </w:r>
          </w:p>
        </w:tc>
        <w:tc>
          <w:tcPr>
            <w:tcW w:w="7848" w:type="dxa"/>
            <w:tcBorders/>
          </w:tcPr>
          <w:p>
            <w:pPr>
              <w:pStyle w:val="CompanyNameOne"/>
              <w:tabs>
                <w:tab w:val="clear" w:pos="1440"/>
                <w:tab w:val="clear" w:pos="6480"/>
                <w:tab w:val="right" w:pos="-12412" w:leader="none"/>
                <w:tab w:val="left" w:pos="2201" w:leader="none"/>
                <w:tab w:val="right" w:pos="7316" w:leader="none"/>
              </w:tabs>
              <w:spacing w:before="60" w:after="0"/>
              <w:rPr/>
            </w:pPr>
            <w:r>
              <w:rPr/>
              <w:t>2001–Present</w:t>
              <w:tab/>
              <w:t>Enron North America, Inc.</w:t>
              <w:tab/>
              <w:t>Denver, Colorado</w:t>
            </w:r>
          </w:p>
          <w:p>
            <w:pPr>
              <w:pStyle w:val="JobTitle"/>
              <w:rPr/>
            </w:pPr>
            <w:r>
              <w:rPr/>
              <w:t>Vice President</w:t>
            </w:r>
          </w:p>
          <w:p>
            <w:pPr>
              <w:pStyle w:val="Achievement"/>
              <w:numPr>
                <w:ilvl w:val="0"/>
                <w:numId w:val="2"/>
              </w:numPr>
              <w:spacing w:before="0" w:after="60"/>
              <w:ind w:hanging="0" w:start="0"/>
              <w:rPr/>
            </w:pPr>
            <w:r>
              <w:rPr/>
              <w:t>Manage Denver office responsible for Producer Services/Origination in the Western U.S. and Utility and Industrial Marketing/Origination for the Rocky Mountains and Pacific Northwest.  Manage six direct reports including, two Senior Commercial, two Commercial Support, one Associate and one Assistant.  Responsible for $25 Million in earnings through the 3</w:t>
            </w:r>
            <w:r>
              <w:rPr>
                <w:vertAlign w:val="superscript"/>
              </w:rPr>
              <w:t>rd</w:t>
            </w:r>
            <w:r>
              <w:rPr/>
              <w:t xml:space="preserve"> Quarter of 2001.</w:t>
            </w:r>
          </w:p>
        </w:tc>
      </w:tr>
      <w:tr>
        <w:trPr/>
        <w:tc>
          <w:tcPr>
            <w:tcW w:w="1988" w:type="dxa"/>
            <w:tcBorders/>
          </w:tcPr>
          <w:p>
            <w:pPr>
              <w:pStyle w:val="NoTitle"/>
              <w:snapToGrid w:val="false"/>
              <w:spacing w:before="220" w:after="0"/>
              <w:rPr/>
            </w:pPr>
            <w:r>
              <w:rPr/>
            </w:r>
          </w:p>
        </w:tc>
        <w:tc>
          <w:tcPr>
            <w:tcW w:w="7848" w:type="dxa"/>
            <w:tcBorders/>
          </w:tcPr>
          <w:p>
            <w:pPr>
              <w:pStyle w:val="CompanyName"/>
              <w:tabs>
                <w:tab w:val="clear" w:pos="1440"/>
                <w:tab w:val="clear" w:pos="6480"/>
                <w:tab w:val="left" w:pos="2201" w:leader="none"/>
                <w:tab w:val="right" w:pos="7316" w:leader="none"/>
              </w:tabs>
              <w:spacing w:before="220" w:after="0"/>
              <w:rPr/>
            </w:pPr>
            <w:r>
              <w:rPr/>
              <w:t>1997–2000</w:t>
              <w:tab/>
              <w:t>Enron Capital and Trade Resources, Inc.</w:t>
              <w:tab/>
              <w:t>Denver, Colorado</w:t>
            </w:r>
          </w:p>
          <w:p>
            <w:pPr>
              <w:pStyle w:val="JobTitle"/>
              <w:rPr/>
            </w:pPr>
            <w:r>
              <w:rPr/>
              <w:t>Director</w:t>
            </w:r>
          </w:p>
          <w:p>
            <w:pPr>
              <w:pStyle w:val="Achievement"/>
              <w:numPr>
                <w:ilvl w:val="0"/>
                <w:numId w:val="3"/>
              </w:numPr>
              <w:ind w:hanging="245" w:start="245" w:end="0"/>
              <w:rPr/>
            </w:pPr>
            <w:r>
              <w:rPr/>
              <w:t xml:space="preserve">Part of the original two-man team that built Enron’s Rocky Mountain Trading and Asset businesses.  Responsible for the development and management of Enron’s Western U.S. upstream assets and Eastern Rockies Trading books.  Managed seven direct reports including, one Senior Commercial, three Commercial Support and one associate.  </w:t>
            </w:r>
          </w:p>
          <w:p>
            <w:pPr>
              <w:pStyle w:val="PersonalInfo"/>
              <w:numPr>
                <w:ilvl w:val="0"/>
                <w:numId w:val="3"/>
              </w:numPr>
              <w:spacing w:lineRule="auto" w:line="240" w:before="0" w:after="60"/>
              <w:ind w:hanging="245" w:start="240" w:end="0"/>
              <w:rPr/>
            </w:pPr>
            <w:r>
              <w:rPr/>
              <w:t>Major responsibilities and achievements included:</w:t>
            </w:r>
          </w:p>
          <w:p>
            <w:pPr>
              <w:pStyle w:val="PersonalInfo"/>
              <w:numPr>
                <w:ilvl w:val="0"/>
                <w:numId w:val="3"/>
              </w:numPr>
              <w:spacing w:lineRule="auto" w:line="240" w:before="0" w:after="60"/>
              <w:ind w:hanging="245" w:start="480" w:end="0"/>
              <w:rPr/>
            </w:pPr>
            <w:r>
              <w:rPr/>
              <w:t>Complete grassroots development of 3 gathering and compression businesses, and the acquisition of a fourth gathering company.</w:t>
            </w:r>
          </w:p>
          <w:p>
            <w:pPr>
              <w:pStyle w:val="PersonalInfo"/>
              <w:numPr>
                <w:ilvl w:val="0"/>
                <w:numId w:val="3"/>
              </w:numPr>
              <w:spacing w:lineRule="auto" w:line="240" w:before="0" w:after="60"/>
              <w:ind w:hanging="245" w:start="480" w:end="0"/>
              <w:rPr/>
            </w:pPr>
            <w:r>
              <w:rPr/>
              <w:t>Developed the Origination, Trading Books and Upstream Logistical functions for the Eastern Rocky Mountain region.  Generated earnings of  $25 million from these activities in 2000.  Volumes traded exceeded over 700 MMcf per day.</w:t>
            </w:r>
          </w:p>
          <w:p>
            <w:pPr>
              <w:pStyle w:val="PersonalInfo"/>
              <w:numPr>
                <w:ilvl w:val="0"/>
                <w:numId w:val="3"/>
              </w:numPr>
              <w:spacing w:lineRule="auto" w:line="240" w:before="0" w:after="60"/>
              <w:ind w:hanging="245" w:start="480" w:end="0"/>
              <w:rPr/>
            </w:pPr>
            <w:r>
              <w:rPr/>
              <w:t>Responsible for all commercial activities for all Enron non-regulated gas assets in the Western U.S.</w:t>
            </w:r>
          </w:p>
          <w:p>
            <w:pPr>
              <w:pStyle w:val="PersonalInfo"/>
              <w:numPr>
                <w:ilvl w:val="0"/>
                <w:numId w:val="3"/>
              </w:numPr>
              <w:spacing w:lineRule="auto" w:line="240" w:before="0" w:after="60"/>
              <w:ind w:hanging="245" w:start="480" w:end="0"/>
              <w:rPr/>
            </w:pPr>
            <w:r>
              <w:rPr/>
              <w:t>This group achieved earnings of over $150 million during a three-year period.</w:t>
            </w:r>
          </w:p>
        </w:tc>
      </w:tr>
      <w:tr>
        <w:trPr/>
        <w:tc>
          <w:tcPr>
            <w:tcW w:w="1988" w:type="dxa"/>
            <w:tcBorders/>
          </w:tcPr>
          <w:p>
            <w:pPr>
              <w:pStyle w:val="NoTitle"/>
              <w:snapToGrid w:val="false"/>
              <w:spacing w:before="220" w:after="0"/>
              <w:rPr/>
            </w:pPr>
            <w:r>
              <w:rPr/>
            </w:r>
          </w:p>
        </w:tc>
        <w:tc>
          <w:tcPr>
            <w:tcW w:w="7848" w:type="dxa"/>
            <w:tcBorders/>
          </w:tcPr>
          <w:p>
            <w:pPr>
              <w:pStyle w:val="CompanyName"/>
              <w:tabs>
                <w:tab w:val="clear" w:pos="1440"/>
                <w:tab w:val="clear" w:pos="6480"/>
                <w:tab w:val="left" w:pos="2201" w:leader="none"/>
                <w:tab w:val="right" w:pos="7316" w:leader="none"/>
              </w:tabs>
              <w:spacing w:before="220" w:after="0"/>
              <w:rPr/>
            </w:pPr>
            <w:r>
              <w:rPr/>
              <w:t>1996</w:t>
              <w:tab/>
              <w:t>Western Gas Resources, Inc.                    Denver, Colorado</w:t>
              <w:tab/>
            </w:r>
          </w:p>
          <w:p>
            <w:pPr>
              <w:pStyle w:val="JobTitle"/>
              <w:rPr/>
            </w:pPr>
            <w:r>
              <w:rPr/>
              <w:t>Manager of Power Marketing</w:t>
            </w:r>
          </w:p>
          <w:p>
            <w:pPr>
              <w:pStyle w:val="Achievement"/>
              <w:numPr>
                <w:ilvl w:val="0"/>
                <w:numId w:val="3"/>
              </w:numPr>
              <w:spacing w:before="0" w:after="60"/>
              <w:rPr/>
            </w:pPr>
            <w:r>
              <w:rPr/>
              <w:t>Developed nationwide Power Marketing group consisting of 11 employees, 24 hour scheduling, real-time, next day and term trading.  Ranked the 24</w:t>
            </w:r>
            <w:r>
              <w:rPr>
                <w:vertAlign w:val="superscript"/>
              </w:rPr>
              <w:t>th</w:t>
            </w:r>
            <w:r>
              <w:rPr/>
              <w:t xml:space="preserve"> largest Power Marketer in the 4</w:t>
            </w:r>
            <w:r>
              <w:rPr>
                <w:vertAlign w:val="superscript"/>
              </w:rPr>
              <w:t>th</w:t>
            </w:r>
            <w:r>
              <w:rPr/>
              <w:t xml:space="preserve"> Quarter of 1996. </w:t>
            </w:r>
          </w:p>
        </w:tc>
      </w:tr>
      <w:tr>
        <w:trPr/>
        <w:tc>
          <w:tcPr>
            <w:tcW w:w="1988" w:type="dxa"/>
            <w:tcBorders/>
          </w:tcPr>
          <w:p>
            <w:pPr>
              <w:pStyle w:val="NoTitle"/>
              <w:snapToGrid w:val="false"/>
              <w:spacing w:before="220" w:after="0"/>
              <w:rPr/>
            </w:pPr>
            <w:r>
              <w:rPr/>
            </w:r>
          </w:p>
        </w:tc>
        <w:tc>
          <w:tcPr>
            <w:tcW w:w="7848" w:type="dxa"/>
            <w:tcBorders/>
          </w:tcPr>
          <w:p>
            <w:pPr>
              <w:pStyle w:val="CompanyName"/>
              <w:tabs>
                <w:tab w:val="clear" w:pos="1440"/>
                <w:tab w:val="clear" w:pos="6480"/>
                <w:tab w:val="left" w:pos="2201" w:leader="none"/>
                <w:tab w:val="right" w:pos="7316" w:leader="none"/>
              </w:tabs>
              <w:spacing w:before="220" w:after="0"/>
              <w:rPr/>
            </w:pPr>
            <w:r>
              <w:rPr/>
              <w:t>1992–1995</w:t>
              <w:tab/>
              <w:t>Western Gas Resources, Inc.                    Denver, Colorado</w:t>
              <w:tab/>
            </w:r>
          </w:p>
          <w:p>
            <w:pPr>
              <w:pStyle w:val="JobTitle"/>
              <w:rPr/>
            </w:pPr>
            <w:r>
              <w:rPr/>
              <w:t>Manager of Gas Marketing</w:t>
            </w:r>
          </w:p>
          <w:p>
            <w:pPr>
              <w:pStyle w:val="Achievement"/>
              <w:numPr>
                <w:ilvl w:val="0"/>
                <w:numId w:val="4"/>
              </w:numPr>
              <w:spacing w:before="0" w:after="60"/>
              <w:rPr/>
            </w:pPr>
            <w:r>
              <w:rPr/>
              <w:t xml:space="preserve">One of the original 5 employees in Gas Trading group, which reached 60 people by 1997.  Developed and managed the Mid-Continent, Retail and Rocky Mountain Trading groups.  Managed gas supplies from company owned processing plants and third parties.  Built extensive Rocky Mountain Trading book consisting of term supplies, direct utility, commercial and industrial markets and extensive transportation and storage positions.  Volumes traded exceeded 600 MMcf per day.  Responsible for accrual earnings of $6 million in 1995. </w:t>
              <w:tab/>
              <w:t xml:space="preserve"> </w:t>
            </w:r>
          </w:p>
        </w:tc>
      </w:tr>
      <w:tr>
        <w:trPr/>
        <w:tc>
          <w:tcPr>
            <w:tcW w:w="1988" w:type="dxa"/>
            <w:tcBorders/>
          </w:tcPr>
          <w:p>
            <w:pPr>
              <w:pStyle w:val="NoTitle"/>
              <w:snapToGrid w:val="false"/>
              <w:spacing w:before="220" w:after="0"/>
              <w:rPr/>
            </w:pPr>
            <w:r>
              <w:rPr/>
            </w:r>
          </w:p>
        </w:tc>
        <w:tc>
          <w:tcPr>
            <w:tcW w:w="7848" w:type="dxa"/>
            <w:tcBorders/>
          </w:tcPr>
          <w:p>
            <w:pPr>
              <w:pStyle w:val="CompanyName"/>
              <w:tabs>
                <w:tab w:val="clear" w:pos="1440"/>
                <w:tab w:val="clear" w:pos="6480"/>
                <w:tab w:val="left" w:pos="2201" w:leader="none"/>
                <w:tab w:val="right" w:pos="7316" w:leader="none"/>
              </w:tabs>
              <w:spacing w:before="220" w:after="0"/>
              <w:rPr/>
            </w:pPr>
            <w:r>
              <w:rPr>
                <w:rFonts w:eastAsia="Garamond"/>
              </w:rPr>
              <w:t xml:space="preserve"> </w:t>
            </w:r>
            <w:r>
              <w:rPr/>
              <w:t>1989–1992</w:t>
              <w:tab/>
              <w:t>Tenneco Gas                                             Houston, Texas</w:t>
            </w:r>
          </w:p>
          <w:p>
            <w:pPr>
              <w:pStyle w:val="JobTitle"/>
              <w:spacing w:before="0" w:after="60"/>
              <w:rPr/>
            </w:pPr>
            <w:r>
              <w:rPr/>
              <w:t>Associate/Account Executive</w:t>
            </w:r>
          </w:p>
          <w:p>
            <w:pPr>
              <w:pStyle w:val="PersonalInfo"/>
              <w:numPr>
                <w:ilvl w:val="0"/>
                <w:numId w:val="4"/>
              </w:numPr>
              <w:spacing w:before="0" w:after="60"/>
              <w:rPr/>
            </w:pPr>
            <w:r>
              <w:rPr/>
              <w:t>Managed Gulf Coast producer accounts for Tennessee Gas Pipeline.  Responsible for over 150 Accounts including Texaco,  Amerada Hess, Cokinos and other independents.</w:t>
            </w:r>
          </w:p>
          <w:p>
            <w:pPr>
              <w:pStyle w:val="Achievement"/>
              <w:numPr>
                <w:ilvl w:val="0"/>
                <w:numId w:val="2"/>
              </w:numPr>
              <w:spacing w:before="0" w:after="60"/>
              <w:ind w:hanging="0" w:start="0"/>
              <w:rPr/>
            </w:pPr>
            <w:r>
              <w:rPr/>
              <w:t>Managed Tennessee’s Account 858, 3</w:t>
            </w:r>
            <w:r>
              <w:rPr>
                <w:vertAlign w:val="superscript"/>
              </w:rPr>
              <w:t>rd</w:t>
            </w:r>
            <w:r>
              <w:rPr/>
              <w:t xml:space="preserve"> party transportation contracts.  Successfully reduced Account 858 expenses by $50 million, which resulted in direct bottom line income.</w:t>
            </w:r>
          </w:p>
        </w:tc>
      </w:tr>
      <w:tr>
        <w:trPr/>
        <w:tc>
          <w:tcPr>
            <w:tcW w:w="1988" w:type="dxa"/>
            <w:tcBorders/>
          </w:tcPr>
          <w:p>
            <w:pPr>
              <w:pStyle w:val="NoTitle"/>
              <w:snapToGrid w:val="false"/>
              <w:spacing w:before="220" w:after="0"/>
              <w:rPr/>
            </w:pPr>
            <w:r>
              <w:rPr/>
            </w:r>
          </w:p>
          <w:p>
            <w:pPr>
              <w:pStyle w:val="NoTitle"/>
              <w:rPr/>
            </w:pPr>
            <w:r>
              <w:rPr/>
            </w:r>
          </w:p>
          <w:p>
            <w:pPr>
              <w:pStyle w:val="NoTitle"/>
              <w:rPr/>
            </w:pPr>
            <w:r>
              <w:rPr/>
            </w:r>
          </w:p>
        </w:tc>
        <w:tc>
          <w:tcPr>
            <w:tcW w:w="7848" w:type="dxa"/>
            <w:tcBorders/>
          </w:tcPr>
          <w:p>
            <w:pPr>
              <w:pStyle w:val="Achievement"/>
              <w:numPr>
                <w:ilvl w:val="0"/>
                <w:numId w:val="0"/>
              </w:numPr>
              <w:snapToGrid w:val="false"/>
              <w:ind w:hanging="240" w:start="240" w:end="0"/>
              <w:rPr/>
            </w:pPr>
            <w:r>
              <w:rPr/>
            </w:r>
          </w:p>
          <w:p>
            <w:pPr>
              <w:pStyle w:val="Achievement"/>
              <w:numPr>
                <w:ilvl w:val="0"/>
                <w:numId w:val="0"/>
              </w:numPr>
              <w:spacing w:before="0" w:after="60"/>
              <w:ind w:hanging="240" w:start="240" w:end="0"/>
              <w:rPr/>
            </w:pPr>
            <w:r>
              <w:rPr/>
            </w:r>
          </w:p>
        </w:tc>
      </w:tr>
      <w:tr>
        <w:trPr/>
        <w:tc>
          <w:tcPr>
            <w:tcW w:w="9836" w:type="dxa"/>
            <w:gridSpan w:val="2"/>
            <w:tcBorders/>
          </w:tcPr>
          <w:p>
            <w:pPr>
              <w:pStyle w:val="SectionTitle"/>
              <w:pBdr>
                <w:bottom w:val="single" w:sz="6" w:space="1" w:color="808080"/>
              </w:pBdr>
              <w:spacing w:lineRule="atLeast" w:line="220" w:before="220" w:after="0"/>
              <w:jc w:val="start"/>
              <w:rPr/>
            </w:pPr>
            <w:r>
              <w:rPr/>
              <w:t>Education</w:t>
            </w:r>
          </w:p>
        </w:tc>
      </w:tr>
      <w:tr>
        <w:trPr/>
        <w:tc>
          <w:tcPr>
            <w:tcW w:w="1988" w:type="dxa"/>
            <w:tcBorders/>
          </w:tcPr>
          <w:p>
            <w:pPr>
              <w:pStyle w:val="NoTitle"/>
              <w:snapToGrid w:val="false"/>
              <w:spacing w:before="220" w:after="0"/>
              <w:rPr/>
            </w:pPr>
            <w:r>
              <w:rPr/>
            </w:r>
          </w:p>
        </w:tc>
        <w:tc>
          <w:tcPr>
            <w:tcW w:w="7848" w:type="dxa"/>
            <w:tcBorders/>
          </w:tcPr>
          <w:p>
            <w:pPr>
              <w:pStyle w:val="Institution"/>
              <w:tabs>
                <w:tab w:val="clear" w:pos="1440"/>
                <w:tab w:val="clear" w:pos="6480"/>
                <w:tab w:val="left" w:pos="2201" w:leader="none"/>
                <w:tab w:val="right" w:pos="7316" w:leader="none"/>
              </w:tabs>
              <w:spacing w:before="60" w:after="0"/>
              <w:rPr/>
            </w:pPr>
            <w:r>
              <w:rPr/>
              <w:t xml:space="preserve">1987-1989                  Texas A&amp;M University                         College Station, Texas </w:t>
            </w:r>
          </w:p>
          <w:p>
            <w:pPr>
              <w:pStyle w:val="Achievement"/>
              <w:numPr>
                <w:ilvl w:val="0"/>
                <w:numId w:val="0"/>
              </w:numPr>
              <w:ind w:hanging="240" w:start="240" w:end="0"/>
              <w:rPr>
                <w:i/>
                <w:i/>
                <w:iCs/>
              </w:rPr>
            </w:pPr>
            <w:r>
              <w:rPr>
                <w:i/>
                <w:iCs/>
              </w:rPr>
              <w:t>Masters of Business Administration</w:t>
            </w:r>
          </w:p>
          <w:p>
            <w:pPr>
              <w:pStyle w:val="Achievement"/>
              <w:numPr>
                <w:ilvl w:val="0"/>
                <w:numId w:val="0"/>
              </w:numPr>
              <w:spacing w:before="0" w:after="60"/>
              <w:ind w:hanging="240" w:start="240" w:end="0"/>
              <w:rPr/>
            </w:pPr>
            <w:r>
              <w:rPr/>
              <w:t>G.P.A. 3.4/4.0</w:t>
            </w:r>
          </w:p>
        </w:tc>
      </w:tr>
      <w:tr>
        <w:trPr/>
        <w:tc>
          <w:tcPr>
            <w:tcW w:w="1988" w:type="dxa"/>
            <w:tcBorders/>
          </w:tcPr>
          <w:p>
            <w:pPr>
              <w:pStyle w:val="NoTitle"/>
              <w:snapToGrid w:val="false"/>
              <w:spacing w:before="220" w:after="0"/>
              <w:rPr/>
            </w:pPr>
            <w:r>
              <w:rPr/>
            </w:r>
          </w:p>
        </w:tc>
        <w:tc>
          <w:tcPr>
            <w:tcW w:w="7848" w:type="dxa"/>
            <w:tcBorders/>
          </w:tcPr>
          <w:p>
            <w:pPr>
              <w:pStyle w:val="Institution"/>
              <w:tabs>
                <w:tab w:val="clear" w:pos="1440"/>
                <w:tab w:val="clear" w:pos="6480"/>
                <w:tab w:val="left" w:pos="2201" w:leader="none"/>
                <w:tab w:val="right" w:pos="7316" w:leader="none"/>
              </w:tabs>
              <w:spacing w:before="60" w:after="0"/>
              <w:rPr/>
            </w:pPr>
            <w:r>
              <w:rPr/>
              <w:t>1983–1987</w:t>
              <w:tab/>
              <w:t>Texas Lutheran University                  Seguin, Texas</w:t>
            </w:r>
          </w:p>
          <w:p>
            <w:pPr>
              <w:pStyle w:val="Achievement"/>
              <w:numPr>
                <w:ilvl w:val="0"/>
                <w:numId w:val="0"/>
              </w:numPr>
              <w:ind w:hanging="0" w:start="0"/>
              <w:rPr>
                <w:i/>
                <w:i/>
                <w:iCs/>
              </w:rPr>
            </w:pPr>
            <w:r>
              <w:rPr>
                <w:i/>
                <w:iCs/>
              </w:rPr>
              <w:t>Bachelor of Arts, Marketing  – Dean’s List</w:t>
            </w:r>
          </w:p>
          <w:p>
            <w:pPr>
              <w:pStyle w:val="Achievement"/>
              <w:numPr>
                <w:ilvl w:val="0"/>
                <w:numId w:val="0"/>
              </w:numPr>
              <w:ind w:hanging="0" w:start="0"/>
              <w:rPr/>
            </w:pPr>
            <w:r>
              <w:rPr/>
              <w:t>G.P.A. 3.46/4.0</w:t>
            </w:r>
          </w:p>
          <w:p>
            <w:pPr>
              <w:pStyle w:val="Achievement"/>
              <w:numPr>
                <w:ilvl w:val="0"/>
                <w:numId w:val="0"/>
              </w:numPr>
              <w:spacing w:before="0" w:after="60"/>
              <w:ind w:hanging="0" w:start="0"/>
              <w:rPr/>
            </w:pPr>
            <w:r>
              <w:rPr/>
              <w:t>NAIA Academic All-American Football Player</w:t>
            </w:r>
          </w:p>
        </w:tc>
      </w:tr>
      <w:tr>
        <w:trPr/>
        <w:tc>
          <w:tcPr>
            <w:tcW w:w="9836" w:type="dxa"/>
            <w:gridSpan w:val="2"/>
            <w:tcBorders/>
          </w:tcPr>
          <w:p>
            <w:pPr>
              <w:pStyle w:val="SectionTitle"/>
              <w:pBdr>
                <w:bottom w:val="single" w:sz="6" w:space="1" w:color="808080"/>
              </w:pBdr>
              <w:spacing w:lineRule="atLeast" w:line="220" w:before="220" w:after="0"/>
              <w:jc w:val="start"/>
              <w:rPr/>
            </w:pPr>
            <w:r>
              <w:rPr/>
              <w:t>Activities and Interests</w:t>
            </w:r>
          </w:p>
        </w:tc>
      </w:tr>
      <w:tr>
        <w:trPr/>
        <w:tc>
          <w:tcPr>
            <w:tcW w:w="1988" w:type="dxa"/>
            <w:tcBorders/>
          </w:tcPr>
          <w:p>
            <w:pPr>
              <w:pStyle w:val="NoTitle"/>
              <w:snapToGrid w:val="false"/>
              <w:spacing w:before="220" w:after="0"/>
              <w:rPr/>
            </w:pPr>
            <w:r>
              <w:rPr/>
            </w:r>
          </w:p>
        </w:tc>
        <w:tc>
          <w:tcPr>
            <w:tcW w:w="7848" w:type="dxa"/>
            <w:tcBorders/>
          </w:tcPr>
          <w:p>
            <w:pPr>
              <w:pStyle w:val="Objective"/>
              <w:spacing w:lineRule="atLeast" w:line="220" w:before="60" w:after="220"/>
              <w:rPr/>
            </w:pPr>
            <w:r>
              <w:rPr/>
              <w:t>Mountain Sports (Skiing, Mountain Biking, Hiking, Snowshoeing)</w:t>
            </w:r>
          </w:p>
          <w:p>
            <w:pPr>
              <w:pStyle w:val="BodyText"/>
              <w:rPr/>
            </w:pPr>
            <w:r>
              <w:rPr/>
              <w:t>Off –Road vehicles</w:t>
            </w:r>
          </w:p>
          <w:p>
            <w:pPr>
              <w:pStyle w:val="Objective"/>
              <w:rPr/>
            </w:pPr>
            <w:r>
              <w:rPr/>
              <w:t>White water rafting</w:t>
            </w:r>
          </w:p>
          <w:p>
            <w:pPr>
              <w:pStyle w:val="Objective"/>
              <w:spacing w:lineRule="atLeast" w:line="220" w:before="60" w:after="220"/>
              <w:rPr/>
            </w:pPr>
            <w:r>
              <w:rPr/>
              <w:t>Adventure Travel</w:t>
            </w:r>
          </w:p>
        </w:tc>
      </w:tr>
      <w:tr>
        <w:trPr/>
        <w:tc>
          <w:tcPr>
            <w:tcW w:w="9836" w:type="dxa"/>
            <w:gridSpan w:val="2"/>
            <w:tcBorders/>
          </w:tcPr>
          <w:p>
            <w:pPr>
              <w:pStyle w:val="SectionTitle"/>
              <w:pBdr>
                <w:bottom w:val="single" w:sz="6" w:space="1" w:color="808080"/>
              </w:pBdr>
              <w:spacing w:lineRule="atLeast" w:line="220" w:before="220" w:after="0"/>
              <w:jc w:val="start"/>
              <w:rPr/>
            </w:pPr>
            <w:r>
              <w:rPr/>
              <w:t>personal</w:t>
            </w:r>
          </w:p>
        </w:tc>
      </w:tr>
      <w:tr>
        <w:trPr/>
        <w:tc>
          <w:tcPr>
            <w:tcW w:w="1988" w:type="dxa"/>
            <w:tcBorders/>
          </w:tcPr>
          <w:p>
            <w:pPr>
              <w:pStyle w:val="NoTitle"/>
              <w:snapToGrid w:val="false"/>
              <w:spacing w:before="220" w:after="0"/>
              <w:rPr>
                <w:caps/>
              </w:rPr>
            </w:pPr>
            <w:r>
              <w:rPr>
                <w:caps/>
              </w:rPr>
            </w:r>
          </w:p>
        </w:tc>
        <w:tc>
          <w:tcPr>
            <w:tcW w:w="7848" w:type="dxa"/>
            <w:tcBorders/>
          </w:tcPr>
          <w:p>
            <w:pPr>
              <w:pStyle w:val="Objective"/>
              <w:spacing w:lineRule="atLeast" w:line="220" w:before="60" w:after="220"/>
              <w:rPr/>
            </w:pPr>
            <w:r>
              <w:rPr/>
              <w:t>36 years old</w:t>
            </w:r>
          </w:p>
          <w:p>
            <w:pPr>
              <w:pStyle w:val="BodyText"/>
              <w:rPr/>
            </w:pPr>
            <w:r>
              <w:rPr/>
              <w:t>Married 9 years</w:t>
            </w:r>
          </w:p>
          <w:p>
            <w:pPr>
              <w:pStyle w:val="Objective"/>
              <w:spacing w:lineRule="atLeast" w:line="220" w:before="60" w:after="220"/>
              <w:rPr/>
            </w:pPr>
            <w:r>
              <w:rPr/>
              <w:t>2 children (Girl, age 4;  Boy, age 1)</w:t>
            </w:r>
          </w:p>
        </w:tc>
      </w:tr>
      <w:tr>
        <w:trPr/>
        <w:tc>
          <w:tcPr>
            <w:tcW w:w="9836" w:type="dxa"/>
            <w:gridSpan w:val="2"/>
            <w:tcBorders/>
          </w:tcPr>
          <w:p>
            <w:pPr>
              <w:pStyle w:val="SectionTitle"/>
              <w:pBdr>
                <w:bottom w:val="single" w:sz="6" w:space="1" w:color="808080"/>
              </w:pBdr>
              <w:spacing w:lineRule="atLeast" w:line="220" w:before="220" w:after="0"/>
              <w:jc w:val="start"/>
              <w:rPr/>
            </w:pPr>
            <w:r>
              <w:rPr/>
              <w:t>Proffesional Associations</w:t>
            </w:r>
          </w:p>
        </w:tc>
      </w:tr>
      <w:tr>
        <w:trPr/>
        <w:tc>
          <w:tcPr>
            <w:tcW w:w="1988" w:type="dxa"/>
            <w:tcBorders/>
          </w:tcPr>
          <w:p>
            <w:pPr>
              <w:pStyle w:val="NoTitle"/>
              <w:snapToGrid w:val="false"/>
              <w:spacing w:before="220" w:after="0"/>
              <w:rPr/>
            </w:pPr>
            <w:r>
              <w:rPr/>
            </w:r>
          </w:p>
        </w:tc>
        <w:tc>
          <w:tcPr>
            <w:tcW w:w="7848" w:type="dxa"/>
            <w:tcBorders/>
          </w:tcPr>
          <w:p>
            <w:pPr>
              <w:pStyle w:val="Objective"/>
              <w:spacing w:lineRule="atLeast" w:line="220" w:before="60" w:after="220"/>
              <w:rPr/>
            </w:pPr>
            <w:r>
              <w:rPr/>
              <w:t>Director - Colorado Oil and Gas Association</w:t>
            </w:r>
          </w:p>
          <w:p>
            <w:pPr>
              <w:pStyle w:val="BodyText"/>
              <w:rPr/>
            </w:pPr>
            <w:r>
              <w:rPr/>
              <w:t>Director – Independent Producers Association of Mountain States</w:t>
            </w:r>
          </w:p>
          <w:p>
            <w:pPr>
              <w:pStyle w:val="BodyText"/>
              <w:spacing w:lineRule="atLeast" w:line="240" w:before="0" w:after="220"/>
              <w:rPr/>
            </w:pPr>
            <w:r>
              <w:rPr/>
              <w:t>Featured Speaker at various COGA, IPAMS and Wyoming Gas Fair events.</w:t>
            </w:r>
          </w:p>
        </w:tc>
      </w:tr>
    </w:tbl>
    <w:p>
      <w:pPr>
        <w:pStyle w:val="Normal"/>
        <w:rPr/>
      </w:pPr>
      <w:r>
        <w:rPr/>
      </w:r>
    </w:p>
    <w:p>
      <w:pPr>
        <w:pStyle w:val="Normal"/>
        <w:rPr/>
      </w:pPr>
      <w:r>
        <w:rPr/>
      </w:r>
    </w:p>
    <w:tbl>
      <w:tblPr>
        <w:tblpPr w:vertAnchor="page" w:tblpYSpec="bottom" w:horzAnchor="text" w:tblpXSpec="center" w:leftFromText="187" w:rightFromText="187"/>
        <w:tblOverlap w:val="never"/>
        <w:tblW w:w="5000" w:type="pct"/>
        <w:jc w:val="start"/>
        <w:tblInd w:w="108" w:type="dxa"/>
        <w:tblLayout w:type="fixed"/>
        <w:tblCellMar>
          <w:top w:w="0" w:type="dxa"/>
          <w:start w:w="108" w:type="dxa"/>
          <w:bottom w:w="0" w:type="dxa"/>
          <w:end w:w="108" w:type="dxa"/>
        </w:tblCellMar>
      </w:tblPr>
      <w:tblGrid>
        <w:gridCol w:w="10152"/>
      </w:tblGrid>
      <w:tr>
        <w:trPr>
          <w:trHeight w:val="245" w:hRule="atLeast"/>
        </w:trPr>
        <w:tc>
          <w:tcPr>
            <w:tcW w:w="10152" w:type="dxa"/>
            <w:tcBorders/>
          </w:tcPr>
          <w:p>
            <w:pPr>
              <w:pStyle w:val="Address1"/>
              <w:rPr/>
            </w:pPr>
            <w:r>
              <w:rPr/>
              <w:t>fax (303) 674-5459 • e-mail mawhitt@aol.com</w:t>
            </w:r>
          </w:p>
        </w:tc>
      </w:tr>
      <w:tr>
        <w:trPr>
          <w:trHeight w:val="1066" w:hRule="atLeast"/>
        </w:trPr>
        <w:tc>
          <w:tcPr>
            <w:tcW w:w="10152" w:type="dxa"/>
            <w:tcBorders/>
          </w:tcPr>
          <w:p>
            <w:pPr>
              <w:pStyle w:val="Address2"/>
              <w:rPr/>
            </w:pPr>
            <w:r>
              <w:rPr/>
              <w:t>28071 Camel heights Circle Evergreen Colorado 80439 • Phone (303) 674-5459</w:t>
            </w:r>
          </w:p>
        </w:tc>
      </w:tr>
    </w:tbl>
    <w:p>
      <w:pPr>
        <w:pStyle w:val="Normal"/>
        <w:rPr/>
      </w:pPr>
      <w:r>
        <w:rPr/>
      </w:r>
    </w:p>
    <w:p>
      <w:pPr>
        <w:pStyle w:val="Normal"/>
        <w:rPr/>
      </w:pPr>
      <w:r>
        <w:rPr/>
      </w:r>
    </w:p>
    <w:sectPr>
      <w:headerReference w:type="default" r:id="rId2"/>
      <w:headerReference w:type="first" r:id="rId3"/>
      <w:footerReference w:type="default" r:id="rId4"/>
      <w:footerReference w:type="first" r:id="rId5"/>
      <w:type w:val="nextPage"/>
      <w:pgSz w:w="12240" w:h="15840"/>
      <w:pgMar w:left="1152" w:right="1152" w:gutter="0" w:header="965" w:top="1021" w:footer="965" w:bottom="1021"/>
      <w:pgNumType w:fmt="decimal"/>
      <w:formProt w:val="false"/>
      <w:titlePg/>
      <w:textDirection w:val="lrTb"/>
      <w:docGrid w:type="default" w:linePitch="224"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aramond">
    <w:charset w:val="00" w:characterSet="windows-1252"/>
    <w:family w:val="roman"/>
    <w:pitch w:val="variable"/>
  </w:font>
  <w:font w:name="Wingdings">
    <w:charset w:val="02"/>
    <w:family w:val="auto"/>
    <w:pitch w:val="variable"/>
  </w:font>
  <w:font w:name="Courier New">
    <w:charset w:val="00" w:characterSet="windows-1252"/>
    <w:family w:val="modern"/>
    <w:pitch w:val="default"/>
  </w:font>
  <w:font w:name="Times">
    <w:altName w:val="Times New Roman"/>
    <w:charset w:val="00" w:characterSet="windows-1252"/>
    <w:family w:val="roman"/>
    <w:pitch w:val="variable"/>
  </w:font>
  <w:font w:name="Tms Rmn">
    <w:altName w:val="Times New Roman"/>
    <w:charset w:val="00" w:characterSet="windows-1252"/>
    <w:family w:val="roman"/>
    <w:pitch w:val="variable"/>
  </w:font>
  <w:font w:name="Arial Black">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240" w:before="220" w:after="220"/>
      <w:ind w:hanging="0" w:start="-2160" w:end="-840"/>
      <w:jc w:val="start"/>
      <w:rPr/>
    </w:pPr>
    <w:r>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tLeast" w:line="240" w:before="220" w:after="220"/>
      <w:ind w:hanging="0" w:start="-2160" w:end="-840"/>
      <w:jc w:val="star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tLeast" w:line="240" w:before="220" w:after="220"/>
      <w:jc w:val="start"/>
      <w:rPr>
        <w:rFonts w:eastAsia="Garamond"/>
      </w:rPr>
    </w:pPr>
    <w:r>
      <w:rPr>
        <w:rFonts w:eastAsia="Garamond"/>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lineRule="atLeast" w:line="220" w:before="220" w:after="220"/>
      <w:ind w:hanging="0" w:start="-2160" w:end="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240"/>
        </w:tabs>
        <w:ind w:start="240" w:hanging="240"/>
      </w:pPr>
      <w:rPr>
        <w:rFonts w:ascii="Wingdings" w:hAnsi="Wingdings" w:cs="Wingdings" w:hint="default"/>
        <w:sz w:val="12"/>
      </w:rPr>
    </w:lvl>
  </w:abstractNum>
  <w:abstractNum w:abstractNumId="3">
    <w:lvl w:ilvl="0">
      <w:numFmt w:val="bullet"/>
      <w:lvlText w:val=""/>
      <w:lvlJc w:val="start"/>
      <w:pPr>
        <w:tabs>
          <w:tab w:val="num" w:pos="360"/>
        </w:tabs>
        <w:ind w:start="240" w:hanging="240"/>
      </w:pPr>
      <w:rPr>
        <w:rFonts w:ascii="Wingdings" w:hAnsi="Wingdings" w:cs="Wingdings" w:hint="default"/>
        <w:sz w:val="12"/>
      </w:rPr>
    </w:lvl>
  </w:abstractNum>
  <w:abstractNum w:abstractNumId="4">
    <w:lvl w:ilvl="0">
      <w:numFmt w:val="bullet"/>
      <w:lvlText w:val=""/>
      <w:lvlJc w:val="start"/>
      <w:pPr>
        <w:tabs>
          <w:tab w:val="num" w:pos="240"/>
        </w:tabs>
        <w:ind w:start="240" w:hanging="240"/>
      </w:pPr>
      <w:rPr>
        <w:rFonts w:ascii="Wingdings" w:hAnsi="Wingdings" w:cs="Wingdings" w:hint="default"/>
        <w:sz w:val="12"/>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36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Garamond" w:hAnsi="Garamond" w:eastAsia="Times New Roman" w:cs="Garamond"/>
      <w:color w:val="auto"/>
      <w:sz w:val="22"/>
      <w:szCs w:val="20"/>
      <w:lang w:val="en-US" w:bidi="ar-SA" w:eastAsia="zh-CN"/>
    </w:rPr>
  </w:style>
  <w:style w:type="paragraph" w:styleId="Heading1">
    <w:name w:val="heading 1"/>
    <w:basedOn w:val="HeadingBase"/>
    <w:next w:val="BodyText"/>
    <w:qFormat/>
    <w:pPr>
      <w:numPr>
        <w:ilvl w:val="0"/>
        <w:numId w:val="1"/>
      </w:numPr>
      <w:ind w:hanging="0" w:start="-2160" w:end="0"/>
      <w:jc w:val="start"/>
      <w:outlineLvl w:val="0"/>
    </w:pPr>
    <w:rPr>
      <w:spacing w:val="20"/>
      <w:kern w:val="2"/>
      <w:sz w:val="23"/>
    </w:rPr>
  </w:style>
  <w:style w:type="paragraph" w:styleId="Heading2">
    <w:name w:val="heading 2"/>
    <w:basedOn w:val="HeadingBase"/>
    <w:next w:val="BodyText"/>
    <w:qFormat/>
    <w:pPr>
      <w:numPr>
        <w:ilvl w:val="1"/>
        <w:numId w:val="1"/>
      </w:numPr>
      <w:jc w:val="start"/>
      <w:outlineLvl w:val="1"/>
    </w:pPr>
    <w:rPr>
      <w:spacing w:val="5"/>
      <w:sz w:val="20"/>
    </w:rPr>
  </w:style>
  <w:style w:type="paragraph" w:styleId="Heading3">
    <w:name w:val="heading 3"/>
    <w:basedOn w:val="HeadingBase"/>
    <w:next w:val="BodyText"/>
    <w:qFormat/>
    <w:pPr>
      <w:numPr>
        <w:ilvl w:val="2"/>
        <w:numId w:val="1"/>
      </w:numPr>
      <w:spacing w:before="240" w:after="220"/>
      <w:jc w:val="start"/>
      <w:outlineLvl w:val="2"/>
    </w:pPr>
    <w:rPr>
      <w:i/>
      <w:spacing w:val="-2"/>
      <w:sz w:val="20"/>
    </w:rPr>
  </w:style>
  <w:style w:type="paragraph" w:styleId="Heading4">
    <w:name w:val="heading 4"/>
    <w:basedOn w:val="HeadingBase"/>
    <w:next w:val="BodyText"/>
    <w:qFormat/>
    <w:pPr>
      <w:numPr>
        <w:ilvl w:val="3"/>
        <w:numId w:val="1"/>
      </w:numPr>
      <w:spacing w:before="240" w:after="0"/>
      <w:jc w:val="start"/>
      <w:outlineLvl w:val="3"/>
    </w:pPr>
    <w:rPr>
      <w:i/>
      <w:caps w:val="false"/>
      <w:smallCaps w:val="false"/>
      <w:spacing w:val="5"/>
      <w:sz w:val="24"/>
    </w:rPr>
  </w:style>
  <w:style w:type="paragraph" w:styleId="Heading5">
    <w:name w:val="heading 5"/>
    <w:basedOn w:val="HeadingBase"/>
    <w:next w:val="BodyText"/>
    <w:qFormat/>
    <w:pPr>
      <w:numPr>
        <w:ilvl w:val="4"/>
        <w:numId w:val="1"/>
      </w:numPr>
      <w:spacing w:before="240" w:after="220"/>
      <w:jc w:val="start"/>
      <w:outlineLvl w:val="4"/>
    </w:pPr>
    <w:rPr>
      <w:b/>
      <w:spacing w:val="20"/>
      <w:sz w:val="18"/>
    </w:rPr>
  </w:style>
  <w:style w:type="paragraph" w:styleId="Heading6">
    <w:name w:val="heading 6"/>
    <w:basedOn w:val="Normal"/>
    <w:next w:val="Normal"/>
    <w:qFormat/>
    <w:pPr>
      <w:numPr>
        <w:ilvl w:val="5"/>
        <w:numId w:val="1"/>
      </w:numPr>
      <w:spacing w:lineRule="atLeast" w:line="240" w:before="240" w:after="0"/>
      <w:outlineLvl w:val="5"/>
    </w:pPr>
    <w:rPr>
      <w:b/>
    </w:rPr>
  </w:style>
  <w:style w:type="character" w:styleId="WW8NumSt1z0">
    <w:name w:val="WW8NumSt1z0"/>
    <w:qFormat/>
    <w:rPr>
      <w:rFonts w:ascii="Wingdings" w:hAnsi="Wingdings" w:cs="Wingdings"/>
      <w:sz w:val="12"/>
    </w:rPr>
  </w:style>
  <w:style w:type="character" w:styleId="WW8NumSt2z0">
    <w:name w:val="WW8NumSt2z0"/>
    <w:qFormat/>
    <w:rPr>
      <w:rFonts w:ascii="Wingdings" w:hAnsi="Wingdings" w:cs="Wingdings"/>
      <w:sz w:val="12"/>
    </w:rPr>
  </w:style>
  <w:style w:type="character" w:styleId="WW8NumSt3z0">
    <w:name w:val="WW8NumSt3z0"/>
    <w:qFormat/>
    <w:rPr>
      <w:rFonts w:ascii="Wingdings" w:hAnsi="Wingdings" w:cs="Wingdings"/>
      <w:sz w:val="12"/>
    </w:rPr>
  </w:style>
  <w:style w:type="character" w:styleId="WW8NumSt4z0">
    <w:name w:val="WW8NumSt4z0"/>
    <w:qFormat/>
    <w:rPr>
      <w:rFonts w:ascii="Wingdings" w:hAnsi="Wingdings" w:cs="Wingdings"/>
      <w:sz w:val="12"/>
    </w:rPr>
  </w:style>
  <w:style w:type="character" w:styleId="WW8NumSt4z1">
    <w:name w:val="WW8NumSt4z1"/>
    <w:qFormat/>
    <w:rPr>
      <w:rFonts w:ascii="Courier New" w:hAnsi="Courier New" w:cs="Courier New"/>
    </w:rPr>
  </w:style>
  <w:style w:type="character" w:styleId="WW8NumSt4z2">
    <w:name w:val="WW8NumSt4z2"/>
    <w:qFormat/>
    <w:rPr>
      <w:rFonts w:ascii="Wingdings" w:hAnsi="Wingdings" w:cs="Wingdings"/>
    </w:rPr>
  </w:style>
  <w:style w:type="character" w:styleId="WW8NumSt4z3">
    <w:name w:val="WW8NumSt4z3"/>
    <w:qFormat/>
    <w:rPr>
      <w:rFonts w:ascii="Symbol" w:hAnsi="Symbol" w:cs="Symbol"/>
    </w:rPr>
  </w:style>
  <w:style w:type="character" w:styleId="WW8NumSt5z0">
    <w:name w:val="WW8NumSt5z0"/>
    <w:qFormat/>
    <w:rPr>
      <w:rFonts w:ascii="Wingdings" w:hAnsi="Wingdings" w:cs="Wingdings"/>
      <w:sz w:val="12"/>
    </w:rPr>
  </w:style>
  <w:style w:type="character" w:styleId="WW8NumSt5z1">
    <w:name w:val="WW8NumSt5z1"/>
    <w:qFormat/>
    <w:rPr>
      <w:rFonts w:ascii="Courier New" w:hAnsi="Courier New" w:cs="Courier New"/>
    </w:rPr>
  </w:style>
  <w:style w:type="character" w:styleId="WW8NumSt5z2">
    <w:name w:val="WW8NumSt5z2"/>
    <w:qFormat/>
    <w:rPr>
      <w:rFonts w:ascii="Wingdings" w:hAnsi="Wingdings" w:cs="Wingdings"/>
    </w:rPr>
  </w:style>
  <w:style w:type="character" w:styleId="WW8NumSt5z3">
    <w:name w:val="WW8NumSt5z3"/>
    <w:qFormat/>
    <w:rPr>
      <w:rFonts w:ascii="Symbol" w:hAnsi="Symbol" w:cs="Symbol"/>
    </w:rPr>
  </w:style>
  <w:style w:type="character" w:styleId="WW8NumSt6z0">
    <w:name w:val="WW8NumSt6z0"/>
    <w:qFormat/>
    <w:rPr>
      <w:rFonts w:ascii="Wingdings" w:hAnsi="Wingdings" w:cs="Wingdings"/>
      <w:sz w:val="12"/>
    </w:rPr>
  </w:style>
  <w:style w:type="character" w:styleId="WW8NumSt7z0">
    <w:name w:val="WW8NumSt7z0"/>
    <w:qFormat/>
    <w:rPr>
      <w:rFonts w:ascii="Wingdings" w:hAnsi="Wingdings" w:cs="Wingdings"/>
    </w:rPr>
  </w:style>
  <w:style w:type="character" w:styleId="WW8NumSt8z0">
    <w:name w:val="WW8NumSt8z0"/>
    <w:qFormat/>
    <w:rPr>
      <w:rFonts w:ascii="Wingdings" w:hAnsi="Wingdings" w:cs="Wingdings"/>
      <w:sz w:val="12"/>
    </w:rPr>
  </w:style>
  <w:style w:type="character" w:styleId="WW8NumSt9z0">
    <w:name w:val="WW8NumSt9z0"/>
    <w:qFormat/>
    <w:rPr>
      <w:rFonts w:ascii="Wingdings" w:hAnsi="Wingdings" w:cs="Wingdings"/>
      <w:sz w:val="12"/>
    </w:rPr>
  </w:style>
  <w:style w:type="character" w:styleId="WW8NumSt10z0">
    <w:name w:val="WW8NumSt10z0"/>
    <w:qFormat/>
    <w:rPr>
      <w:rFonts w:ascii="Wingdings" w:hAnsi="Wingdings" w:cs="Wingdings"/>
      <w:sz w:val="12"/>
    </w:rPr>
  </w:style>
  <w:style w:type="character" w:styleId="WW8NumSt11z0">
    <w:name w:val="WW8NumSt11z0"/>
    <w:qFormat/>
    <w:rPr>
      <w:rFonts w:ascii="Wingdings" w:hAnsi="Wingdings" w:cs="Wingdings"/>
      <w:sz w:val="12"/>
    </w:rPr>
  </w:style>
  <w:style w:type="character" w:styleId="WW8NumSt12z0">
    <w:name w:val="WW8NumSt12z0"/>
    <w:qFormat/>
    <w:rPr>
      <w:rFonts w:ascii="Times" w:hAnsi="Times" w:cs="Times"/>
      <w:sz w:val="12"/>
    </w:rPr>
  </w:style>
  <w:style w:type="character" w:styleId="WW8NumSt13z0">
    <w:name w:val="WW8NumSt13z0"/>
    <w:qFormat/>
    <w:rPr>
      <w:rFonts w:ascii="Tms Rmn" w:hAnsi="Tms Rmn" w:cs="Tms Rmn"/>
      <w:sz w:val="16"/>
    </w:rPr>
  </w:style>
  <w:style w:type="character" w:styleId="WW8NumSt14z0">
    <w:name w:val="WW8NumSt14z0"/>
    <w:qFormat/>
    <w:rPr>
      <w:rFonts w:ascii="Tms Rmn" w:hAnsi="Tms Rmn" w:cs="Tms Rmn"/>
      <w:sz w:val="12"/>
    </w:rPr>
  </w:style>
  <w:style w:type="character" w:styleId="WW8NumSt15z0">
    <w:name w:val="WW8NumSt15z0"/>
    <w:qFormat/>
    <w:rPr>
      <w:rFonts w:ascii="Tms Rmn" w:hAnsi="Tms Rmn" w:cs="Tms Rmn"/>
      <w:sz w:val="12"/>
    </w:rPr>
  </w:style>
  <w:style w:type="character" w:styleId="WW8NumSt16z0">
    <w:name w:val="WW8NumSt16z0"/>
    <w:qFormat/>
    <w:rPr>
      <w:rFonts w:ascii="Tms Rmn" w:hAnsi="Tms Rmn" w:cs="Tms Rmn"/>
      <w:sz w:val="12"/>
    </w:rPr>
  </w:style>
  <w:style w:type="character" w:styleId="WW8NumSt17z0">
    <w:name w:val="WW8NumSt17z0"/>
    <w:qFormat/>
    <w:rPr>
      <w:rFonts w:ascii="Tms Rmn" w:hAnsi="Tms Rmn" w:cs="Tms Rmn"/>
      <w:sz w:val="12"/>
    </w:rPr>
  </w:style>
  <w:style w:type="character" w:styleId="WW8NumSt28z0">
    <w:name w:val="WW8NumSt28z0"/>
    <w:qFormat/>
    <w:rPr>
      <w:rFonts w:ascii="Times New Roman" w:hAnsi="Times New Roman" w:cs="Times New Roman"/>
      <w:sz w:val="12"/>
    </w:rPr>
  </w:style>
  <w:style w:type="character" w:styleId="DefaultParagraphFont">
    <w:name w:val="Default Paragraph Font"/>
    <w:qFormat/>
    <w:rPr/>
  </w:style>
  <w:style w:type="character" w:styleId="Lead-inEmphasis">
    <w:name w:val="Lead-in Emphasis"/>
    <w:qFormat/>
    <w:rPr>
      <w:rFonts w:ascii="Arial Black" w:hAnsi="Arial Black" w:cs="Arial Black"/>
      <w:spacing w:val="-6"/>
      <w:sz w:val="18"/>
    </w:rPr>
  </w:style>
  <w:style w:type="character" w:styleId="PageNumber">
    <w:name w:val="page number"/>
    <w:rPr>
      <w:sz w:val="24"/>
    </w:rPr>
  </w:style>
  <w:style w:type="character" w:styleId="Emphasis">
    <w:name w:val="Emphasis"/>
    <w:qFormat/>
    <w:rPr>
      <w:rFonts w:ascii="Garamond" w:hAnsi="Garamond" w:cs="Garamond"/>
      <w:caps/>
      <w:spacing w:val="0"/>
      <w:sz w:val="18"/>
    </w:rPr>
  </w:style>
  <w:style w:type="character" w:styleId="Job">
    <w:name w:val="Job"/>
    <w:basedOn w:val="DefaultParagraph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before="0" w:after="2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ingBase">
    <w:name w:val="Heading Base"/>
    <w:basedOn w:val="BodyText"/>
    <w:next w:val="BodyText"/>
    <w:qFormat/>
    <w:pPr>
      <w:keepNext w:val="true"/>
      <w:keepLines/>
      <w:spacing w:before="240" w:after="240"/>
    </w:pPr>
    <w:rPr>
      <w:caps/>
    </w:rPr>
  </w:style>
  <w:style w:type="paragraph" w:styleId="HeaderBase">
    <w:name w:val="Header Base"/>
    <w:basedOn w:val="Normal"/>
    <w:qFormat/>
    <w:pPr>
      <w:spacing w:lineRule="atLeast" w:line="220" w:before="220" w:after="220"/>
      <w:ind w:hanging="0" w:start="-2160" w:end="0"/>
    </w:pPr>
    <w:rPr>
      <w:caps/>
    </w:rPr>
  </w:style>
  <w:style w:type="paragraph" w:styleId="DocumentLabel">
    <w:name w:val="Document Label"/>
    <w:basedOn w:val="Normal"/>
    <w:next w:val="SectionTitle"/>
    <w:qFormat/>
    <w:pPr>
      <w:spacing w:before="0" w:after="220"/>
    </w:pPr>
    <w:rPr>
      <w:spacing w:val="-20"/>
      <w:sz w:val="48"/>
    </w:rPr>
  </w:style>
  <w:style w:type="paragraph" w:styleId="SectionTitle">
    <w:name w:val="Section Title"/>
    <w:basedOn w:val="Normal"/>
    <w:next w:val="Objective"/>
    <w:qFormat/>
    <w:pPr>
      <w:pBdr>
        <w:bottom w:val="single" w:sz="6" w:space="1" w:color="808080"/>
      </w:pBdr>
      <w:spacing w:lineRule="atLeast" w:line="220" w:before="220" w:after="0"/>
      <w:jc w:val="start"/>
    </w:pPr>
    <w:rPr>
      <w:caps/>
      <w:spacing w:val="15"/>
      <w:sz w:val="20"/>
    </w:rPr>
  </w:style>
  <w:style w:type="paragraph" w:styleId="Objective">
    <w:name w:val="Objective"/>
    <w:basedOn w:val="Normal"/>
    <w:next w:val="BodyText"/>
    <w:qFormat/>
    <w:pPr>
      <w:spacing w:lineRule="atLeast" w:line="220" w:before="60" w:after="220"/>
    </w:pPr>
    <w:rPr>
      <w:sz w:val="22"/>
    </w:rPr>
  </w:style>
  <w:style w:type="paragraph" w:styleId="CompanyName">
    <w:name w:val="Company Name"/>
    <w:basedOn w:val="Normal"/>
    <w:next w:val="JobTitle"/>
    <w:qFormat/>
    <w:pPr>
      <w:tabs>
        <w:tab w:val="clear" w:pos="360"/>
        <w:tab w:val="left" w:pos="1440" w:leader="none"/>
        <w:tab w:val="right" w:pos="6480" w:leader="none"/>
      </w:tabs>
      <w:spacing w:lineRule="atLeast" w:line="220" w:before="220" w:after="0"/>
      <w:jc w:val="start"/>
    </w:pPr>
    <w:rPr/>
  </w:style>
  <w:style w:type="paragraph" w:styleId="JobTitle">
    <w:name w:val="Job Title"/>
    <w:next w:val="Achievement"/>
    <w:qFormat/>
    <w:pPr>
      <w:widowControl/>
      <w:bidi w:val="0"/>
      <w:spacing w:lineRule="atLeast" w:line="220" w:before="40" w:after="40"/>
    </w:pPr>
    <w:rPr>
      <w:rFonts w:ascii="Garamond" w:hAnsi="Garamond" w:eastAsia="Times New Roman" w:cs="Garamond"/>
      <w:i/>
      <w:color w:val="auto"/>
      <w:spacing w:val="5"/>
      <w:sz w:val="23"/>
      <w:szCs w:val="20"/>
      <w:lang w:val="en-US" w:bidi="ar-SA" w:eastAsia="zh-CN"/>
    </w:rPr>
  </w:style>
  <w:style w:type="paragraph" w:styleId="Achievement">
    <w:name w:val="Achievement"/>
    <w:basedOn w:val="BodyText"/>
    <w:qFormat/>
    <w:pPr>
      <w:numPr>
        <w:ilvl w:val="0"/>
        <w:numId w:val="2"/>
      </w:numPr>
      <w:spacing w:before="0" w:after="60"/>
    </w:pPr>
    <w:rPr/>
  </w:style>
  <w:style w:type="paragraph" w:styleId="Name">
    <w:name w:val="Name"/>
    <w:basedOn w:val="Normal"/>
    <w:next w:val="Normal"/>
    <w:qFormat/>
    <w:pPr>
      <w:spacing w:lineRule="atLeast" w:line="240" w:before="0" w:after="440"/>
      <w:jc w:val="center"/>
    </w:pPr>
    <w:rPr>
      <w:caps/>
      <w:spacing w:val="80"/>
      <w:sz w:val="44"/>
    </w:rPr>
  </w:style>
  <w:style w:type="paragraph" w:styleId="Date">
    <w:name w:val="Date"/>
    <w:basedOn w:val="BodyText"/>
    <w:qFormat/>
    <w:pPr>
      <w:keepNext w:val="true"/>
    </w:pPr>
    <w:rPr/>
  </w:style>
  <w:style w:type="paragraph" w:styleId="CityState">
    <w:name w:val="City/State"/>
    <w:basedOn w:val="BodyText"/>
    <w:next w:val="BodyText"/>
    <w:qFormat/>
    <w:pPr>
      <w:keepNext w:val="true"/>
    </w:pPr>
    <w:rPr/>
  </w:style>
  <w:style w:type="paragraph" w:styleId="Institution">
    <w:name w:val="Institution"/>
    <w:basedOn w:val="Normal"/>
    <w:next w:val="Achievement"/>
    <w:qFormat/>
    <w:pPr>
      <w:tabs>
        <w:tab w:val="clear" w:pos="360"/>
        <w:tab w:val="left" w:pos="1440" w:leader="none"/>
        <w:tab w:val="right" w:pos="6480" w:leader="none"/>
      </w:tabs>
      <w:spacing w:lineRule="atLeast" w:line="220" w:before="60" w:after="0"/>
      <w:jc w:val="start"/>
    </w:pPr>
    <w:rPr/>
  </w:style>
  <w:style w:type="paragraph" w:styleId="HeaderandFooter">
    <w:name w:val="Header and Footer"/>
    <w:basedOn w:val="Normal"/>
    <w:qFormat/>
    <w:pPr>
      <w:suppressLineNumbers/>
      <w:tabs>
        <w:tab w:val="clear" w:pos="360"/>
        <w:tab w:val="center" w:pos="4986" w:leader="none"/>
        <w:tab w:val="right" w:pos="9972" w:leader="none"/>
      </w:tabs>
    </w:pPr>
    <w:rPr/>
  </w:style>
  <w:style w:type="paragraph" w:styleId="Header">
    <w:name w:val="header"/>
    <w:basedOn w:val="HeaderBase"/>
    <w:pPr>
      <w:spacing w:lineRule="atLeast" w:line="220"/>
      <w:ind w:hanging="0" w:start="-2160" w:end="0"/>
    </w:pPr>
    <w:rPr/>
  </w:style>
  <w:style w:type="paragraph" w:styleId="Footer">
    <w:name w:val="footer"/>
    <w:basedOn w:val="HeaderBase"/>
    <w:pPr>
      <w:tabs>
        <w:tab w:val="clear" w:pos="360"/>
        <w:tab w:val="right" w:pos="7320" w:leader="none"/>
      </w:tabs>
      <w:spacing w:lineRule="atLeast" w:line="240"/>
      <w:ind w:hanging="0" w:start="-2160" w:end="-840"/>
      <w:jc w:val="start"/>
    </w:pPr>
    <w:rPr/>
  </w:style>
  <w:style w:type="paragraph" w:styleId="Address1">
    <w:name w:val="Address 1"/>
    <w:basedOn w:val="Normal"/>
    <w:qFormat/>
    <w:pPr>
      <w:spacing w:lineRule="atLeast" w:line="160"/>
      <w:jc w:val="center"/>
    </w:pPr>
    <w:rPr>
      <w:caps/>
      <w:spacing w:val="30"/>
      <w:sz w:val="15"/>
    </w:rPr>
  </w:style>
  <w:style w:type="paragraph" w:styleId="SectionSubtitle">
    <w:name w:val="Section Subtitle"/>
    <w:basedOn w:val="SectionTitle"/>
    <w:next w:val="Normal"/>
    <w:qFormat/>
    <w:pPr/>
    <w:rPr>
      <w:i/>
      <w:caps w:val="false"/>
      <w:smallCaps w:val="false"/>
      <w:spacing w:val="10"/>
      <w:sz w:val="24"/>
    </w:rPr>
  </w:style>
  <w:style w:type="paragraph" w:styleId="Address2">
    <w:name w:val="Address 2"/>
    <w:basedOn w:val="Normal"/>
    <w:qFormat/>
    <w:pPr>
      <w:spacing w:lineRule="atLeast" w:line="160"/>
      <w:jc w:val="center"/>
    </w:pPr>
    <w:rPr>
      <w:caps/>
      <w:spacing w:val="30"/>
      <w:sz w:val="15"/>
    </w:rPr>
  </w:style>
  <w:style w:type="paragraph" w:styleId="BodyTextIndent">
    <w:name w:val="Body Text Indent"/>
    <w:basedOn w:val="BodyText"/>
    <w:pPr>
      <w:ind w:hanging="0" w:start="720" w:end="0"/>
    </w:pPr>
    <w:rPr/>
  </w:style>
  <w:style w:type="paragraph" w:styleId="PersonalData">
    <w:name w:val="Personal Data"/>
    <w:basedOn w:val="BodyText"/>
    <w:qFormat/>
    <w:pPr>
      <w:spacing w:lineRule="exact" w:line="240" w:before="0" w:after="120"/>
      <w:ind w:hanging="0" w:start="-1080" w:end="1080"/>
    </w:pPr>
    <w:rPr>
      <w:rFonts w:ascii="Arial" w:hAnsi="Arial" w:cs="Arial"/>
      <w:i/>
      <w:sz w:val="22"/>
    </w:rPr>
  </w:style>
  <w:style w:type="paragraph" w:styleId="CompanyNameOne">
    <w:name w:val="Company Name One"/>
    <w:basedOn w:val="CompanyName"/>
    <w:next w:val="JobTitle"/>
    <w:qFormat/>
    <w:pPr>
      <w:spacing w:before="60" w:after="0"/>
    </w:pPr>
    <w:rPr/>
  </w:style>
  <w:style w:type="paragraph" w:styleId="NoTitle">
    <w:name w:val="No Title"/>
    <w:basedOn w:val="SectionTitle"/>
    <w:qFormat/>
    <w:pPr>
      <w:pBdr>
        <w:bottom w:val="nil"/>
      </w:pBdr>
    </w:pPr>
    <w:rPr/>
  </w:style>
  <w:style w:type="paragraph" w:styleId="PersonalInfo">
    <w:name w:val="Personal Info"/>
    <w:basedOn w:val="Achievement"/>
    <w:next w:val="Achievement"/>
    <w:qFormat/>
    <w:pPr>
      <w:spacing w:before="220" w:after="60"/>
      <w:ind w:hanging="245" w:start="245"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Elegant Resume</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2001-12-17T17:51:00Z</dcterms:created>
  <dc:creator>Valued Sony Customer</dc:creator>
  <dc:description/>
  <dc:language>en-CA</dc:language>
  <cp:lastModifiedBy>mwhitt</cp:lastModifiedBy>
  <cp:lastPrinted>2001-12-17T13:13:00Z</cp:lastPrinted>
  <dcterms:modified xsi:type="dcterms:W3CDTF">2001-12-19T18:12:00Z</dcterms:modified>
  <cp:revision>4</cp:revision>
  <dc:subject/>
  <dc:title>Elegant Resume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r8>1033</vt:r8>
  </property>
  <property fmtid="{D5CDD505-2E9C-101B-9397-08002B2CF9AE}" pid="3" name="UseDefaultLanguage">
    <vt:bool>1</vt:bool>
  </property>
  <property fmtid="{D5CDD505-2E9C-101B-9397-08002B2CF9AE}" pid="4" name="Version">
    <vt:r8>99022200</vt:r8>
  </property>
</Properties>
</file>