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center"/>
        <w:rPr>
          <w:sz w:val="22"/>
        </w:rPr>
      </w:pPr>
      <w:r>
        <w:rPr>
          <w:sz w:val="22"/>
        </w:rPr>
        <w:t>September 14, 2000</w:t>
      </w:r>
    </w:p>
    <w:p>
      <w:pPr>
        <w:pStyle w:val="Normal"/>
        <w:widowControl/>
        <w:jc w:val="center"/>
        <w:rPr>
          <w:sz w:val="22"/>
        </w:rPr>
      </w:pPr>
      <w:r>
        <w:rPr>
          <w:sz w:val="22"/>
        </w:rPr>
      </w:r>
    </w:p>
    <w:p>
      <w:pPr>
        <w:pStyle w:val="Normal"/>
        <w:widowControl/>
        <w:jc w:val="center"/>
        <w:rPr>
          <w:sz w:val="22"/>
        </w:rPr>
      </w:pPr>
      <w:r>
        <w:rPr>
          <w:sz w:val="22"/>
        </w:rPr>
      </w:r>
    </w:p>
    <w:p>
      <w:pPr>
        <w:pStyle w:val="Normal"/>
        <w:widowControl/>
        <w:jc w:val="center"/>
        <w:rPr>
          <w:b/>
          <w:sz w:val="22"/>
        </w:rPr>
      </w:pPr>
      <w:r>
        <w:rPr>
          <w:b/>
          <w:sz w:val="22"/>
        </w:rPr>
        <w:t>CONFIDENTIAL</w:t>
      </w:r>
    </w:p>
    <w:p>
      <w:pPr>
        <w:pStyle w:val="Normal"/>
        <w:widowControl/>
        <w:jc w:val="center"/>
        <w:rPr>
          <w:b/>
          <w:sz w:val="22"/>
        </w:rPr>
      </w:pPr>
      <w:r>
        <w:rPr>
          <w:b/>
          <w:sz w:val="22"/>
        </w:rPr>
      </w:r>
    </w:p>
    <w:p>
      <w:pPr>
        <w:pStyle w:val="Normal"/>
        <w:widowControl/>
        <w:jc w:val="center"/>
        <w:rPr>
          <w:b/>
          <w:sz w:val="22"/>
        </w:rPr>
      </w:pPr>
      <w:r>
        <w:rPr>
          <w:b/>
          <w:sz w:val="22"/>
        </w:rPr>
      </w:r>
    </w:p>
    <w:p>
      <w:pPr>
        <w:pStyle w:val="Normal"/>
        <w:widowControl/>
        <w:jc w:val="both"/>
        <w:rPr>
          <w:sz w:val="22"/>
        </w:rPr>
      </w:pPr>
      <w:r>
        <w:rPr>
          <w:sz w:val="22"/>
        </w:rPr>
        <w:t>Peoples Energy Corporation</w:t>
      </w:r>
    </w:p>
    <w:p>
      <w:pPr>
        <w:pStyle w:val="Normal"/>
        <w:widowControl/>
        <w:jc w:val="both"/>
        <w:rPr>
          <w:sz w:val="22"/>
        </w:rPr>
      </w:pPr>
      <w:r>
        <w:rPr>
          <w:sz w:val="22"/>
        </w:rPr>
        <w:t>130 East Randolph Drive</w:t>
      </w:r>
    </w:p>
    <w:p>
      <w:pPr>
        <w:pStyle w:val="Normal"/>
        <w:widowControl/>
        <w:jc w:val="both"/>
        <w:rPr>
          <w:sz w:val="22"/>
        </w:rPr>
      </w:pPr>
      <w:r>
        <w:rPr>
          <w:sz w:val="22"/>
        </w:rPr>
        <w:t>Chicago, Illinois 60601</w:t>
      </w:r>
    </w:p>
    <w:p>
      <w:pPr>
        <w:pStyle w:val="Normal"/>
        <w:widowControl/>
        <w:jc w:val="both"/>
        <w:rPr>
          <w:sz w:val="22"/>
        </w:rPr>
      </w:pPr>
      <w:r>
        <w:rPr>
          <w:sz w:val="22"/>
        </w:rPr>
        <w:t>Attn:  Mr. William E. Morrow</w:t>
      </w:r>
    </w:p>
    <w:p>
      <w:pPr>
        <w:pStyle w:val="Normal"/>
        <w:widowControl/>
        <w:jc w:val="both"/>
        <w:rPr>
          <w:sz w:val="22"/>
        </w:rPr>
      </w:pPr>
      <w:r>
        <w:rPr>
          <w:sz w:val="22"/>
        </w:rPr>
        <w:t xml:space="preserve">          </w:t>
      </w:r>
      <w:r>
        <w:rPr>
          <w:sz w:val="22"/>
        </w:rPr>
        <w:t>Vice President</w:t>
      </w:r>
    </w:p>
    <w:p>
      <w:pPr>
        <w:pStyle w:val="Normal"/>
        <w:widowControl/>
        <w:jc w:val="both"/>
        <w:rPr>
          <w:sz w:val="22"/>
        </w:rPr>
      </w:pPr>
      <w:r>
        <w:rPr>
          <w:sz w:val="22"/>
        </w:rPr>
      </w:r>
    </w:p>
    <w:p>
      <w:pPr>
        <w:pStyle w:val="Normal"/>
        <w:widowControl/>
        <w:jc w:val="both"/>
        <w:rPr>
          <w:b/>
          <w:sz w:val="22"/>
        </w:rPr>
      </w:pPr>
      <w:r>
        <w:rPr>
          <w:b/>
          <w:sz w:val="22"/>
        </w:rPr>
      </w:r>
    </w:p>
    <w:p>
      <w:pPr>
        <w:pStyle w:val="Normal"/>
        <w:widowControl/>
        <w:jc w:val="both"/>
        <w:rPr>
          <w:sz w:val="22"/>
        </w:rPr>
      </w:pPr>
      <w:r>
        <w:rPr>
          <w:sz w:val="22"/>
        </w:rPr>
        <w:t>Dear Mr. Morrow:</w:t>
      </w:r>
    </w:p>
    <w:p>
      <w:pPr>
        <w:pStyle w:val="Normal"/>
        <w:widowControl/>
        <w:jc w:val="both"/>
        <w:rPr>
          <w:sz w:val="22"/>
        </w:rPr>
      </w:pPr>
      <w:r>
        <w:rPr>
          <w:sz w:val="22"/>
        </w:rPr>
      </w:r>
    </w:p>
    <w:p>
      <w:pPr>
        <w:pStyle w:val="Normal"/>
        <w:widowControl/>
        <w:jc w:val="both"/>
        <w:rPr/>
      </w:pPr>
      <w:r>
        <w:rPr>
          <w:sz w:val="22"/>
        </w:rPr>
        <w:t>This letter (this "</w:t>
      </w:r>
      <w:r>
        <w:rPr>
          <w:sz w:val="22"/>
          <w:u w:val="single"/>
        </w:rPr>
        <w:t>Letter</w:t>
      </w:r>
      <w:r>
        <w:rPr>
          <w:sz w:val="22"/>
        </w:rPr>
        <w:t xml:space="preserve">"), when executed, will evidence the current mutual intent of Enron MW, L.L.C. ("Enron") and Peoples Energy Corporation ("Peoples") to evaluate a joint initiative by Enron and Peoples to monetize the gas storage assets of Peoples and Peoples’s affiliates (the “Proposed Transaction”). It is anticipated that the Proposed Transaction will include the monetization of Peoples’s (or its affiliates’) gas storage facilities, including the Manlove Field, by the use of non-physical and/or physical monetization methods.  This Letter further evidences the agreement of Enron and Peoples as to responsibility for confidentiality, exclusivity, the Party’s respective expenses, and certain other matters, as set forth in this Letter.  </w:t>
      </w:r>
    </w:p>
    <w:p>
      <w:pPr>
        <w:pStyle w:val="Normal"/>
        <w:widowControl/>
        <w:jc w:val="both"/>
        <w:rPr>
          <w:sz w:val="22"/>
        </w:rPr>
      </w:pPr>
      <w:r>
        <w:rPr>
          <w:sz w:val="22"/>
        </w:rPr>
      </w:r>
    </w:p>
    <w:p>
      <w:pPr>
        <w:pStyle w:val="Normal"/>
        <w:jc w:val="both"/>
        <w:rPr/>
      </w:pPr>
      <w:r>
        <w:rPr>
          <w:sz w:val="22"/>
        </w:rPr>
        <w:t>The parties acknowledge and understand that this Agreement is not intended to create a binding and enforceable contract to enter into the Proposed Transaction, or a duty on the part of either party or any of their affiliates to negotiate toward any binding contract to enter into the Proposed Transaction, but rather evidences the parties' binding agreement only as to the matters relating to the evaluation and negotiation of the Proposed Transaction.  Any binding contract to enter into the Proposed Transaction is conditioned upon, in addition to other matters which such party may deem important, the results of due diligence reviews to the parties' satisfaction, which due diligence reviews have not yet been completed, each party's satisfaction with and resolution of all legal and regulatory issues, approval of each party's board of directors (and other management as required), which approvals have not yet been obtained, negotiation and execution of mutually acceptable binding, definitive agreements ("</w:t>
      </w:r>
      <w:r>
        <w:rPr>
          <w:sz w:val="22"/>
          <w:u w:val="single"/>
        </w:rPr>
        <w:t>Definitive Agreements</w:t>
      </w:r>
      <w:r>
        <w:rPr>
          <w:sz w:val="22"/>
        </w:rPr>
        <w:t>"), and satisfaction of all conditions precedent to the effectiveness of the Definitive Agreements. The parties acknowledge and understand that the Definitive Agreements may require regulatory approvals, and the effectiveness of such Definitive Agreements would be contingent upon regulatory approval in form and substance satisfactory to the Parties, in addition to the satisfaction of other conditions precedent</w:t>
      </w:r>
      <w:r>
        <w:rPr/>
        <w:t>.</w:t>
      </w:r>
    </w:p>
    <w:p>
      <w:pPr>
        <w:pStyle w:val="Normal"/>
        <w:widowControl/>
        <w:tabs>
          <w:tab w:val="clear" w:pos="720"/>
          <w:tab w:val="left" w:pos="5940" w:leader="none"/>
        </w:tabs>
        <w:jc w:val="both"/>
        <w:rPr>
          <w:sz w:val="22"/>
        </w:rPr>
      </w:pPr>
      <w:r>
        <w:rPr>
          <w:sz w:val="22"/>
        </w:rPr>
      </w:r>
    </w:p>
    <w:p>
      <w:pPr>
        <w:pStyle w:val="Normal"/>
        <w:widowControl/>
        <w:jc w:val="both"/>
        <w:rPr/>
      </w:pPr>
      <w:r>
        <w:rPr>
          <w:sz w:val="22"/>
        </w:rPr>
        <w:t>Enron and Peoples are sometimes referred to individually as a "</w:t>
      </w:r>
      <w:r>
        <w:rPr>
          <w:sz w:val="22"/>
          <w:u w:val="single"/>
        </w:rPr>
        <w:t>Party</w:t>
      </w:r>
      <w:r>
        <w:rPr>
          <w:sz w:val="22"/>
        </w:rPr>
        <w:t>" and collectively as the "</w:t>
      </w:r>
      <w:r>
        <w:rPr>
          <w:sz w:val="22"/>
          <w:u w:val="single"/>
        </w:rPr>
        <w:t>Parties</w:t>
      </w:r>
      <w:r>
        <w:rPr>
          <w:sz w:val="22"/>
        </w:rPr>
        <w:t>."</w:t>
      </w:r>
    </w:p>
    <w:p>
      <w:pPr>
        <w:pStyle w:val="Normal"/>
        <w:widowControl/>
        <w:jc w:val="both"/>
        <w:rPr>
          <w:sz w:val="22"/>
        </w:rPr>
      </w:pPr>
      <w:r>
        <w:rPr>
          <w:sz w:val="22"/>
        </w:rPr>
        <w:tab/>
        <w:tab/>
      </w:r>
    </w:p>
    <w:p>
      <w:pPr>
        <w:pStyle w:val="Normal"/>
        <w:jc w:val="both"/>
        <w:rPr>
          <w:b/>
          <w:sz w:val="22"/>
        </w:rPr>
      </w:pPr>
      <w:r>
        <w:rPr>
          <w:sz w:val="22"/>
        </w:rPr>
        <w:tab/>
      </w:r>
      <w:r>
        <w:rPr>
          <w:b/>
          <w:sz w:val="22"/>
        </w:rPr>
        <w:t>1.</w:t>
      </w:r>
      <w:r>
        <w:rPr>
          <w:sz w:val="22"/>
        </w:rPr>
        <w:tab/>
      </w:r>
      <w:r>
        <w:rPr>
          <w:b/>
          <w:sz w:val="22"/>
          <w:u w:val="single"/>
        </w:rPr>
        <w:t>Exclusivity</w:t>
      </w:r>
      <w:r>
        <w:rPr>
          <w:b/>
          <w:sz w:val="22"/>
        </w:rPr>
        <w:t>.</w:t>
      </w:r>
      <w:r>
        <w:rPr>
          <w:sz w:val="22"/>
        </w:rPr>
        <w:t xml:space="preserve">   Until the earlier of (a) execution of Definitive Agreements, or (b)  October 31, 2004 (the "</w:t>
      </w:r>
      <w:r>
        <w:rPr>
          <w:sz w:val="22"/>
          <w:u w:val="single"/>
        </w:rPr>
        <w:t>Termination Date</w:t>
      </w:r>
      <w:r>
        <w:rPr>
          <w:sz w:val="22"/>
        </w:rPr>
        <w:t xml:space="preserve">"), in consideration of the substantial expenditures of time, effort and expenses undertaken and to be undertaken by the Parties in order to conduct their due diligence, prepare documents and perform other tasks and undertakings in relation to the Proposed Transaction, the Parties (x) shall negotiate exclusively with each other with respect to the Definitive Agreements and all terms and conditions of the Proposed Transaction and (y) shall not solicit, make or accept any offers or proposals by third parties to undertake or enter into the Proposed Transaction.  </w:t>
      </w:r>
    </w:p>
    <w:p>
      <w:pPr>
        <w:pStyle w:val="Normal"/>
        <w:widowControl/>
        <w:jc w:val="both"/>
        <w:rPr>
          <w:b/>
          <w:sz w:val="22"/>
        </w:rPr>
      </w:pPr>
      <w:r>
        <w:rPr>
          <w:b/>
          <w:sz w:val="22"/>
        </w:rPr>
      </w:r>
    </w:p>
    <w:p>
      <w:pPr>
        <w:pStyle w:val="Normal"/>
        <w:jc w:val="both"/>
        <w:rPr/>
      </w:pPr>
      <w:r>
        <w:rPr>
          <w:sz w:val="22"/>
        </w:rPr>
        <w:tab/>
      </w:r>
      <w:r>
        <w:rPr>
          <w:b/>
          <w:sz w:val="22"/>
        </w:rPr>
        <w:t>2.</w:t>
      </w:r>
      <w:r>
        <w:rPr>
          <w:sz w:val="22"/>
        </w:rPr>
        <w:tab/>
      </w:r>
      <w:r>
        <w:rPr>
          <w:b/>
          <w:sz w:val="22"/>
          <w:u w:val="single"/>
        </w:rPr>
        <w:t>Confidentiality</w:t>
      </w:r>
      <w:r>
        <w:rPr>
          <w:b/>
          <w:sz w:val="22"/>
        </w:rPr>
        <w:t>.</w:t>
      </w:r>
      <w:r>
        <w:rPr>
          <w:sz w:val="22"/>
        </w:rPr>
        <w:t xml:space="preserve">   This Letter, its contents, the monetization methodology proposed by Enron (including any proposed funding entities and structures), any proposals developed pursuant to this Letter, and any other information provided by a Party to the other Party relating to the Proposed Transaction are confidential, and are deemed Confidential Information within the meaning of the previously executed confidentiality agreements executed by the Parties and/or their affiliates, including the confidentiality agreement dated December 27, 1999, the terms of which are incorporated herein by reference. The Parties further acknowledge that the monetization methodology (including the funding entities and structure) proposed by Enron to be used in the Proposed Transaction is proprietary information of Enron, and therefore may not be utilized or disclosed by Peoples except in connection with the Proposed Transaction with Enron for a period of four (4) years following the execution of this Letter.  Neither Party shall issue a news release or other public disclosure concerning this Letter or the Proposed Transaction without the written approval of the other party, except as required by law.</w:t>
      </w:r>
    </w:p>
    <w:p>
      <w:pPr>
        <w:pStyle w:val="Normal"/>
        <w:widowControl/>
        <w:ind w:end="360"/>
        <w:jc w:val="both"/>
        <w:rPr>
          <w:sz w:val="22"/>
        </w:rPr>
      </w:pPr>
      <w:r>
        <w:rPr>
          <w:sz w:val="22"/>
        </w:rPr>
      </w:r>
    </w:p>
    <w:p>
      <w:pPr>
        <w:pStyle w:val="Normal"/>
        <w:jc w:val="both"/>
        <w:rPr/>
      </w:pPr>
      <w:r>
        <w:rPr>
          <w:b/>
          <w:sz w:val="22"/>
        </w:rPr>
        <w:tab/>
        <w:t>3.</w:t>
        <w:tab/>
      </w:r>
      <w:r>
        <w:rPr>
          <w:b/>
          <w:sz w:val="22"/>
          <w:u w:val="single"/>
        </w:rPr>
        <w:t>Expenses</w:t>
      </w:r>
      <w:r>
        <w:rPr>
          <w:b/>
          <w:sz w:val="22"/>
        </w:rPr>
        <w:t>.</w:t>
      </w:r>
      <w:r>
        <w:rPr>
          <w:sz w:val="22"/>
        </w:rPr>
        <w:t xml:space="preserve">  </w:t>
      </w:r>
    </w:p>
    <w:p>
      <w:pPr>
        <w:pStyle w:val="Normal"/>
        <w:jc w:val="both"/>
        <w:rPr>
          <w:sz w:val="22"/>
        </w:rPr>
      </w:pPr>
      <w:r>
        <w:rPr>
          <w:sz w:val="22"/>
        </w:rPr>
      </w:r>
    </w:p>
    <w:p>
      <w:pPr>
        <w:pStyle w:val="Normal"/>
        <w:ind w:firstLine="720" w:end="0"/>
        <w:jc w:val="both"/>
        <w:rPr>
          <w:sz w:val="22"/>
        </w:rPr>
      </w:pPr>
      <w:r>
        <w:rPr>
          <w:sz w:val="22"/>
        </w:rPr>
        <w:t>(a)</w:t>
        <w:tab/>
        <w:t xml:space="preserve">Unless otherwise agreed in writing, each Party shall bear its own internal expenses relating to evaluation of the Proposed Transaction, negotiation of the Definitive Agreements, and other matters related to the Proposed Transaction.  Expenses for the goods or services of third party vendors, consultants or advisors shall be shared equally by the Parties on a 50/50 basis, subject to the approval of both Parties prior to the expense being incurred. Payment for the services rendered by Fairchild and Wells, Inc. to the Proposed Transaction shall be shared equally.  </w:t>
      </w:r>
    </w:p>
    <w:p>
      <w:pPr>
        <w:pStyle w:val="Normal"/>
        <w:jc w:val="both"/>
        <w:rPr>
          <w:sz w:val="22"/>
        </w:rPr>
      </w:pPr>
      <w:r>
        <w:rPr>
          <w:sz w:val="22"/>
        </w:rPr>
      </w:r>
    </w:p>
    <w:p>
      <w:pPr>
        <w:pStyle w:val="Normal"/>
        <w:jc w:val="both"/>
        <w:rPr/>
      </w:pPr>
      <w:r>
        <w:rPr>
          <w:sz w:val="22"/>
        </w:rPr>
        <w:tab/>
        <w:t>(b)</w:t>
        <w:tab/>
        <w:t xml:space="preserve">If a Party should contract for goods or services, or direct the performance of services, or incur expenses exceeding the agreed amount set forth in the Approved Development Budget, then that Party solely shall bear such excess.  All contracts and engagements of vendors, contractors, consultants and advisors to furnish goods or perform services shall be approved by Enron and Peoples prior to engagement of such parties.  </w:t>
      </w:r>
      <w:r>
        <w:rPr>
          <w:spacing w:val="-3"/>
          <w:sz w:val="22"/>
        </w:rPr>
        <w:t>Neither Party</w:t>
      </w:r>
      <w:r>
        <w:rPr>
          <w:sz w:val="22"/>
        </w:rPr>
        <w:t xml:space="preserve"> will have any authority to act as agent of the other Party to contract for such goods and services and may not bind the other Party to pay for such goods or services without the prior written approval of the other Party.  </w:t>
      </w:r>
    </w:p>
    <w:p>
      <w:pPr>
        <w:pStyle w:val="Normal"/>
        <w:widowControl/>
        <w:jc w:val="both"/>
        <w:rPr>
          <w:sz w:val="22"/>
        </w:rPr>
      </w:pPr>
      <w:r>
        <w:rPr>
          <w:sz w:val="22"/>
        </w:rPr>
        <w:t xml:space="preserve">  </w:t>
      </w:r>
    </w:p>
    <w:p>
      <w:pPr>
        <w:pStyle w:val="Normal"/>
        <w:widowControl/>
        <w:jc w:val="both"/>
        <w:rPr/>
      </w:pPr>
      <w:r>
        <w:rPr>
          <w:sz w:val="22"/>
        </w:rPr>
        <w:tab/>
      </w:r>
      <w:r>
        <w:rPr>
          <w:b/>
          <w:sz w:val="22"/>
        </w:rPr>
        <w:t>4.</w:t>
        <w:tab/>
      </w:r>
      <w:r>
        <w:rPr>
          <w:b/>
          <w:sz w:val="22"/>
          <w:u w:val="single"/>
        </w:rPr>
        <w:t>Relationship of the Parties</w:t>
      </w:r>
      <w:r>
        <w:rPr>
          <w:b/>
          <w:sz w:val="22"/>
        </w:rPr>
        <w:t>.</w:t>
      </w:r>
      <w:r>
        <w:rPr>
          <w:sz w:val="22"/>
        </w:rPr>
        <w:t xml:space="preserve"> </w:t>
      </w:r>
      <w:r>
        <w:rPr>
          <w:spacing w:val="-3"/>
          <w:sz w:val="22"/>
        </w:rPr>
        <w:tab/>
      </w:r>
      <w:r>
        <w:rPr>
          <w:sz w:val="22"/>
        </w:rPr>
        <w:t xml:space="preserve">Neither this Agreement nor any Definitive Agreement will constitute nor be construed or implied to constitute the parties or their respective affiliates as partners, joint venturers, agents or representatives of one another, nor as fiduciaries or trustees for one another, nor as having any duties or obligations to one another other than those contractual duties expressly provided for in this Agreement or the Definitive Agreements.  Neither party will have the legal or equitable power or authority, express or implied, to act on behalf of, or to bind, the other party or its affiliates without such other party's or affiliates' prior written consent and instruction to take a specific action on its or their behalf.  </w:t>
      </w:r>
    </w:p>
    <w:p>
      <w:pPr>
        <w:pStyle w:val="Normal"/>
        <w:jc w:val="both"/>
        <w:rPr>
          <w:sz w:val="22"/>
        </w:rPr>
      </w:pPr>
      <w:r>
        <w:rPr>
          <w:sz w:val="22"/>
        </w:rPr>
        <w:tab/>
        <w:tab/>
      </w:r>
    </w:p>
    <w:p>
      <w:pPr>
        <w:pStyle w:val="Normal"/>
        <w:widowControl/>
        <w:ind w:end="360"/>
        <w:jc w:val="both"/>
        <w:rPr/>
      </w:pPr>
      <w:r>
        <w:rPr>
          <w:sz w:val="22"/>
        </w:rPr>
        <w:tab/>
      </w:r>
      <w:r>
        <w:rPr>
          <w:b/>
          <w:sz w:val="22"/>
        </w:rPr>
        <w:t>5.</w:t>
        <w:tab/>
      </w:r>
      <w:r>
        <w:rPr>
          <w:b/>
          <w:sz w:val="22"/>
          <w:u w:val="single"/>
        </w:rPr>
        <w:t>Responsibilities of the Parties</w:t>
      </w:r>
      <w:r>
        <w:rPr>
          <w:sz w:val="22"/>
        </w:rPr>
        <w:t>. It is agreed that Enron (or its affiliates or designees) shall have the primary responsibility for leading the financial, legal, accounting and engineering efforts in connection with structuring the Proposed Transaction. Peoples and Enron shall have joint responsibility for developing and implementing the regulatory strategy.</w:t>
      </w:r>
    </w:p>
    <w:p>
      <w:pPr>
        <w:pStyle w:val="Normal"/>
        <w:widowControl/>
        <w:ind w:end="360"/>
        <w:jc w:val="both"/>
        <w:rPr>
          <w:sz w:val="22"/>
        </w:rPr>
      </w:pPr>
      <w:r>
        <w:rPr>
          <w:sz w:val="22"/>
        </w:rPr>
      </w:r>
    </w:p>
    <w:p>
      <w:pPr>
        <w:pStyle w:val="Normal"/>
        <w:widowControl/>
        <w:ind w:firstLine="720" w:end="360"/>
        <w:jc w:val="both"/>
        <w:rPr/>
      </w:pPr>
      <w:r>
        <w:rPr>
          <w:b/>
          <w:sz w:val="22"/>
        </w:rPr>
        <w:t>6.</w:t>
        <w:tab/>
      </w:r>
      <w:r>
        <w:rPr>
          <w:b/>
          <w:sz w:val="22"/>
          <w:u w:val="single"/>
        </w:rPr>
        <w:t>Term of Definitive Agreements</w:t>
      </w:r>
      <w:r>
        <w:rPr>
          <w:sz w:val="22"/>
        </w:rPr>
        <w:t>. The Parties agree that the term of the Definitive Agreements shall be five (5) years.</w:t>
      </w:r>
    </w:p>
    <w:p>
      <w:pPr>
        <w:pStyle w:val="Normal"/>
        <w:widowControl/>
        <w:ind w:end="360"/>
        <w:jc w:val="both"/>
        <w:rPr>
          <w:sz w:val="22"/>
        </w:rPr>
      </w:pPr>
      <w:r>
        <w:rPr>
          <w:sz w:val="22"/>
        </w:rPr>
      </w:r>
    </w:p>
    <w:p>
      <w:pPr>
        <w:pStyle w:val="Normal"/>
        <w:widowControl/>
        <w:ind w:end="360"/>
        <w:jc w:val="both"/>
        <w:rPr/>
      </w:pPr>
      <w:r>
        <w:rPr>
          <w:sz w:val="22"/>
        </w:rPr>
        <w:tab/>
      </w:r>
      <w:r>
        <w:rPr>
          <w:b/>
          <w:sz w:val="22"/>
        </w:rPr>
        <w:t>7.</w:t>
        <w:tab/>
      </w:r>
      <w:r>
        <w:rPr>
          <w:b/>
          <w:sz w:val="22"/>
          <w:u w:val="single"/>
        </w:rPr>
        <w:t>Profit.</w:t>
      </w:r>
      <w:r>
        <w:rPr>
          <w:sz w:val="22"/>
        </w:rPr>
        <w:tab/>
        <w:t>It is agreed that Enron shall receive 50% of the value realized by Peoples and its affiliates or agents from the Proposed Transaction, not to exceed $25,000,000. The Definitive Agreements shall give full force and effect to this agreement.</w:t>
      </w:r>
    </w:p>
    <w:p>
      <w:pPr>
        <w:pStyle w:val="Normal"/>
        <w:widowControl/>
        <w:ind w:end="360"/>
        <w:jc w:val="both"/>
        <w:rPr>
          <w:sz w:val="22"/>
        </w:rPr>
      </w:pPr>
      <w:r>
        <w:rPr>
          <w:sz w:val="22"/>
        </w:rPr>
      </w:r>
    </w:p>
    <w:p>
      <w:pPr>
        <w:pStyle w:val="Normal"/>
        <w:widowControl/>
        <w:jc w:val="both"/>
        <w:rPr/>
      </w:pPr>
      <w:r>
        <w:rPr>
          <w:b/>
          <w:sz w:val="22"/>
        </w:rPr>
        <w:tab/>
        <w:t>8.</w:t>
        <w:tab/>
      </w:r>
      <w:r>
        <w:rPr>
          <w:b/>
          <w:sz w:val="22"/>
          <w:u w:val="single"/>
        </w:rPr>
        <w:t>Representations and Warranties</w:t>
      </w:r>
      <w:r>
        <w:rPr>
          <w:b/>
          <w:sz w:val="22"/>
        </w:rPr>
        <w:t>.</w:t>
      </w:r>
      <w:r>
        <w:rPr>
          <w:sz w:val="22"/>
        </w:rPr>
        <w:t xml:space="preserve">   Each party hereby represents and warrants to the other party that (a) this Agreement has been validly executed and delivered, (b) has been duly authorized by all action necessary for the authorization hereof, and (c) is the legal, valid and binding obligation of each party, enforceable in accordance with its terms.</w:t>
      </w:r>
    </w:p>
    <w:p>
      <w:pPr>
        <w:pStyle w:val="Normal"/>
        <w:widowControl/>
        <w:ind w:end="360"/>
        <w:jc w:val="both"/>
        <w:rPr>
          <w:sz w:val="22"/>
        </w:rPr>
      </w:pPr>
      <w:r>
        <w:rPr>
          <w:sz w:val="22"/>
        </w:rPr>
      </w:r>
    </w:p>
    <w:p>
      <w:pPr>
        <w:pStyle w:val="Normal"/>
        <w:widowControl/>
        <w:jc w:val="both"/>
        <w:rPr/>
      </w:pPr>
      <w:r>
        <w:rPr>
          <w:b/>
          <w:sz w:val="22"/>
        </w:rPr>
        <w:tab/>
        <w:t>9.</w:t>
        <w:tab/>
      </w:r>
      <w:r>
        <w:rPr>
          <w:b/>
          <w:sz w:val="22"/>
          <w:u w:val="single"/>
        </w:rPr>
        <w:t>Entire Agreement</w:t>
      </w:r>
      <w:r>
        <w:rPr>
          <w:b/>
          <w:sz w:val="22"/>
        </w:rPr>
        <w:t>.</w:t>
      </w:r>
      <w:r>
        <w:rPr>
          <w:sz w:val="22"/>
        </w:rPr>
        <w:t xml:space="preserve">  This Agreement constitutes the entire agreement of the parties relating to the subject matter hereof and supersedes all prior discussions, agreements or understandings, whether oral or written, relating to the Proposed Transaction.  There are no other written or oral agreements or understandings between the parties relating to the subject matter hereof.</w:t>
      </w:r>
    </w:p>
    <w:p>
      <w:pPr>
        <w:pStyle w:val="Normal"/>
        <w:widowControl/>
        <w:jc w:val="both"/>
        <w:rPr>
          <w:sz w:val="22"/>
        </w:rPr>
      </w:pPr>
      <w:r>
        <w:rPr>
          <w:sz w:val="22"/>
        </w:rPr>
      </w:r>
    </w:p>
    <w:p>
      <w:pPr>
        <w:pStyle w:val="Normal"/>
        <w:widowControl/>
        <w:jc w:val="both"/>
        <w:rPr/>
      </w:pPr>
      <w:r>
        <w:rPr>
          <w:sz w:val="22"/>
        </w:rPr>
        <w:tab/>
      </w:r>
      <w:r>
        <w:rPr>
          <w:b/>
          <w:sz w:val="22"/>
        </w:rPr>
        <w:t>10.</w:t>
        <w:tab/>
      </w:r>
      <w:r>
        <w:rPr>
          <w:b/>
          <w:sz w:val="22"/>
          <w:u w:val="single"/>
        </w:rPr>
        <w:t>Assignment.</w:t>
      </w:r>
      <w:r>
        <w:rPr>
          <w:sz w:val="22"/>
        </w:rPr>
        <w:t xml:space="preserve"> This Letter may not be assigned by either Party without the written consent of the other; however, it is acknowledged that the Definitive Agreements may include affiliates, lenders, investors, and designees of the Parties as necessary to give full effect to the intent of this Letter</w:t>
      </w:r>
    </w:p>
    <w:p>
      <w:pPr>
        <w:pStyle w:val="Normal"/>
        <w:jc w:val="both"/>
        <w:rPr>
          <w:sz w:val="22"/>
        </w:rPr>
      </w:pPr>
      <w:r>
        <w:rPr>
          <w:sz w:val="22"/>
        </w:rPr>
      </w:r>
    </w:p>
    <w:p>
      <w:pPr>
        <w:pStyle w:val="Normal"/>
        <w:widowControl/>
        <w:ind w:firstLine="720" w:end="0"/>
        <w:jc w:val="both"/>
        <w:rPr/>
      </w:pPr>
      <w:r>
        <w:rPr>
          <w:b/>
          <w:sz w:val="22"/>
        </w:rPr>
        <w:t>11.</w:t>
        <w:tab/>
      </w:r>
      <w:r>
        <w:rPr>
          <w:b/>
          <w:sz w:val="22"/>
          <w:u w:val="single"/>
        </w:rPr>
        <w:t xml:space="preserve">Survival. </w:t>
      </w:r>
      <w:r>
        <w:rPr>
          <w:sz w:val="22"/>
        </w:rPr>
        <w:t xml:space="preserve"> The provisions of Paragraphs 1, 2 and 3 survive the termination of this Letter, unless the Parties release each other from the referenced terms in writing.</w:t>
      </w:r>
    </w:p>
    <w:p>
      <w:pPr>
        <w:pStyle w:val="Normal"/>
        <w:widowControl/>
        <w:jc w:val="both"/>
        <w:rPr>
          <w:b/>
          <w:sz w:val="22"/>
        </w:rPr>
      </w:pPr>
      <w:r>
        <w:rPr>
          <w:b/>
          <w:sz w:val="22"/>
        </w:rPr>
      </w:r>
    </w:p>
    <w:p>
      <w:pPr>
        <w:pStyle w:val="Normal"/>
        <w:widowControl/>
        <w:jc w:val="both"/>
        <w:rPr/>
      </w:pPr>
      <w:r>
        <w:rPr>
          <w:b/>
          <w:sz w:val="22"/>
        </w:rPr>
        <w:tab/>
        <w:t>12.</w:t>
        <w:tab/>
      </w:r>
      <w:r>
        <w:rPr>
          <w:b/>
          <w:sz w:val="22"/>
          <w:u w:val="single"/>
        </w:rPr>
        <w:t>Governing Law</w:t>
      </w:r>
      <w:r>
        <w:rPr>
          <w:b/>
          <w:sz w:val="22"/>
        </w:rPr>
        <w:t>.</w:t>
      </w:r>
      <w:r>
        <w:rPr>
          <w:sz w:val="22"/>
        </w:rPr>
        <w:t xml:space="preserve">  THIS LETTER SHALL BE GOVERNED BY AND CONSTRUED IN ACCORDANCE WITH THE LAWS OF THE STATE OF NEW YORK, WITHOUT GIVING EFFECT TO PRINCIPLES OF CONFLICTS-OF-LAWS.  </w:t>
      </w:r>
    </w:p>
    <w:p>
      <w:pPr>
        <w:pStyle w:val="Normal"/>
        <w:widowControl/>
        <w:ind w:firstLine="720" w:end="0"/>
        <w:jc w:val="both"/>
        <w:rPr>
          <w:sz w:val="22"/>
        </w:rPr>
      </w:pPr>
      <w:r>
        <w:rPr>
          <w:sz w:val="22"/>
        </w:rPr>
      </w:r>
    </w:p>
    <w:p>
      <w:pPr>
        <w:pStyle w:val="Normal"/>
        <w:widowControl/>
        <w:ind w:firstLine="720" w:end="0"/>
        <w:jc w:val="both"/>
        <w:rPr>
          <w:sz w:val="22"/>
        </w:rPr>
      </w:pPr>
      <w:r>
        <w:rPr>
          <w:sz w:val="22"/>
        </w:rPr>
        <w:t xml:space="preserve">To evidence Peoples' acceptance of this Agreement, please execute all of the enclosed originals of this Agreement in the space provided below, retain one fully-executed original, and return the other original to Enron, to the attention of the undersigned, by 5:00 p.m. (Houston, Texas time) on or before September 21, 2000.  </w:t>
      </w:r>
      <w:r>
        <w:br w:type="page"/>
      </w:r>
    </w:p>
    <w:p>
      <w:pPr>
        <w:pStyle w:val="Normal"/>
        <w:widowControl/>
        <w:jc w:val="both"/>
        <w:rPr>
          <w:sz w:val="22"/>
        </w:rPr>
      </w:pPr>
      <w:r>
        <w:rPr>
          <w:sz w:val="22"/>
        </w:rPr>
      </w:r>
    </w:p>
    <w:p>
      <w:pPr>
        <w:pStyle w:val="Normal"/>
        <w:widowControl/>
        <w:ind w:firstLine="720" w:end="0"/>
        <w:jc w:val="both"/>
        <w:rPr/>
      </w:pPr>
      <w:r>
        <w:rPr>
          <w:sz w:val="22"/>
        </w:rPr>
        <w:t>This Agreement may be executed in counterparts, with each counterpart being deemed to be an original instrument, but all such counterparts together shall constitute but one agreement.  The effective date of this Agreement is agreed to be ________, 2000 (the "</w:t>
      </w:r>
      <w:r>
        <w:rPr>
          <w:sz w:val="22"/>
          <w:u w:val="single"/>
        </w:rPr>
        <w:t>Effective Date</w:t>
      </w:r>
      <w:r>
        <w:rPr>
          <w:sz w:val="22"/>
        </w:rPr>
        <w:t>").</w:t>
      </w:r>
    </w:p>
    <w:p>
      <w:pPr>
        <w:pStyle w:val="Normal"/>
        <w:widowControl/>
        <w:ind w:end="360"/>
        <w:jc w:val="both"/>
        <w:rPr>
          <w:sz w:val="22"/>
        </w:rPr>
      </w:pPr>
      <w:r>
        <w:rPr>
          <w:sz w:val="22"/>
        </w:rPr>
      </w:r>
    </w:p>
    <w:p>
      <w:pPr>
        <w:pStyle w:val="Normal"/>
        <w:widowControl/>
        <w:ind w:end="360"/>
        <w:jc w:val="both"/>
        <w:rPr>
          <w:sz w:val="22"/>
        </w:rPr>
      </w:pPr>
      <w:r>
        <w:rPr>
          <w:sz w:val="22"/>
        </w:rPr>
      </w:r>
    </w:p>
    <w:p>
      <w:pPr>
        <w:pStyle w:val="Normal"/>
        <w:widowControl/>
        <w:ind w:start="3600" w:end="360"/>
        <w:jc w:val="both"/>
        <w:rPr>
          <w:b/>
          <w:sz w:val="22"/>
        </w:rPr>
      </w:pPr>
      <w:r>
        <w:rPr>
          <w:b/>
          <w:sz w:val="22"/>
        </w:rPr>
        <w:t>ENRON MW, L.L.C</w:t>
      </w:r>
    </w:p>
    <w:p>
      <w:pPr>
        <w:pStyle w:val="Normal"/>
        <w:widowControl/>
        <w:ind w:start="3600" w:end="360"/>
        <w:jc w:val="both"/>
        <w:rPr>
          <w:b/>
          <w:sz w:val="22"/>
        </w:rPr>
      </w:pPr>
      <w:r>
        <w:rPr>
          <w:b/>
          <w:sz w:val="22"/>
        </w:rPr>
      </w:r>
    </w:p>
    <w:p>
      <w:pPr>
        <w:pStyle w:val="Normal"/>
        <w:widowControl/>
        <w:ind w:start="3600" w:end="360"/>
        <w:jc w:val="both"/>
        <w:rPr>
          <w:b/>
          <w:sz w:val="22"/>
        </w:rPr>
      </w:pPr>
      <w:r>
        <w:rPr>
          <w:b/>
          <w:sz w:val="22"/>
        </w:rPr>
      </w:r>
    </w:p>
    <w:p>
      <w:pPr>
        <w:pStyle w:val="Normal"/>
        <w:widowControl/>
        <w:ind w:start="3600" w:end="360"/>
        <w:jc w:val="both"/>
        <w:rPr/>
      </w:pPr>
      <w:r>
        <w:rPr>
          <w:sz w:val="22"/>
        </w:rPr>
        <w:t>By:</w:t>
      </w:r>
      <w:r>
        <w:rPr>
          <w:sz w:val="22"/>
          <w:u w:val="single"/>
        </w:rPr>
        <w:tab/>
        <w:tab/>
        <w:tab/>
        <w:tab/>
        <w:tab/>
        <w:tab/>
      </w:r>
    </w:p>
    <w:p>
      <w:pPr>
        <w:pStyle w:val="Normal"/>
        <w:widowControl/>
        <w:ind w:start="3600" w:end="360"/>
        <w:jc w:val="both"/>
        <w:rPr>
          <w:sz w:val="22"/>
        </w:rPr>
      </w:pPr>
      <w:r>
        <w:rPr>
          <w:sz w:val="22"/>
        </w:rPr>
        <w:t xml:space="preserve">       </w:t>
      </w:r>
      <w:r>
        <w:rPr>
          <w:sz w:val="22"/>
        </w:rPr>
        <w:t>Laura Luce</w:t>
        <w:tab/>
        <w:tab/>
        <w:tab/>
      </w:r>
    </w:p>
    <w:p>
      <w:pPr>
        <w:pStyle w:val="Normal"/>
        <w:widowControl/>
        <w:ind w:firstLine="360" w:start="3600" w:end="360"/>
        <w:jc w:val="both"/>
        <w:rPr>
          <w:sz w:val="22"/>
        </w:rPr>
      </w:pPr>
      <w:r>
        <w:rPr>
          <w:sz w:val="22"/>
        </w:rPr>
        <w:t xml:space="preserve">Vice President     </w:t>
      </w:r>
    </w:p>
    <w:p>
      <w:pPr>
        <w:pStyle w:val="Normal"/>
        <w:widowControl/>
        <w:ind w:firstLine="360" w:start="3600" w:end="360"/>
        <w:jc w:val="both"/>
        <w:rPr>
          <w:sz w:val="22"/>
        </w:rPr>
      </w:pPr>
      <w:r>
        <w:rPr>
          <w:sz w:val="22"/>
        </w:rPr>
      </w:r>
    </w:p>
    <w:p>
      <w:pPr>
        <w:pStyle w:val="Normal"/>
        <w:widowControl/>
        <w:ind w:firstLine="360" w:start="3600" w:end="360"/>
        <w:jc w:val="both"/>
        <w:rPr>
          <w:sz w:val="22"/>
        </w:rPr>
      </w:pPr>
      <w:r>
        <w:rPr>
          <w:sz w:val="22"/>
        </w:rPr>
      </w:r>
    </w:p>
    <w:p>
      <w:pPr>
        <w:pStyle w:val="Normal"/>
        <w:widowControl/>
        <w:ind w:end="360"/>
        <w:jc w:val="both"/>
        <w:rPr>
          <w:sz w:val="22"/>
        </w:rPr>
      </w:pPr>
      <w:r>
        <w:rPr>
          <w:sz w:val="22"/>
        </w:rPr>
        <w:t>Acknowledged, Agreed to and Accepted</w:t>
      </w:r>
    </w:p>
    <w:p>
      <w:pPr>
        <w:pStyle w:val="Normal"/>
        <w:widowControl/>
        <w:ind w:end="360"/>
        <w:jc w:val="both"/>
        <w:rPr>
          <w:sz w:val="22"/>
        </w:rPr>
      </w:pPr>
      <w:r>
        <w:rPr>
          <w:sz w:val="22"/>
        </w:rPr>
        <w:t>this ____ day of September, 2000:</w:t>
      </w:r>
    </w:p>
    <w:p>
      <w:pPr>
        <w:pStyle w:val="Normal"/>
        <w:widowControl/>
        <w:ind w:end="360"/>
        <w:jc w:val="both"/>
        <w:rPr>
          <w:sz w:val="22"/>
        </w:rPr>
      </w:pPr>
      <w:r>
        <w:rPr>
          <w:sz w:val="22"/>
        </w:rPr>
      </w:r>
    </w:p>
    <w:p>
      <w:pPr>
        <w:pStyle w:val="Normal"/>
        <w:widowControl/>
        <w:ind w:end="360"/>
        <w:jc w:val="both"/>
        <w:rPr>
          <w:b/>
          <w:sz w:val="22"/>
        </w:rPr>
      </w:pPr>
      <w:r>
        <w:rPr>
          <w:b/>
          <w:sz w:val="22"/>
        </w:rPr>
        <w:t>PEOPLES ENERGY CORPORATION</w:t>
      </w:r>
    </w:p>
    <w:p>
      <w:pPr>
        <w:pStyle w:val="Normal"/>
        <w:widowControl/>
        <w:ind w:end="360"/>
        <w:jc w:val="both"/>
        <w:rPr>
          <w:b/>
          <w:sz w:val="22"/>
        </w:rPr>
      </w:pPr>
      <w:r>
        <w:rPr>
          <w:b/>
          <w:sz w:val="22"/>
        </w:rPr>
      </w:r>
    </w:p>
    <w:p>
      <w:pPr>
        <w:pStyle w:val="Normal"/>
        <w:widowControl/>
        <w:ind w:end="360"/>
        <w:jc w:val="both"/>
        <w:rPr>
          <w:sz w:val="22"/>
        </w:rPr>
      </w:pPr>
      <w:r>
        <w:rPr>
          <w:sz w:val="22"/>
        </w:rPr>
      </w:r>
    </w:p>
    <w:p>
      <w:pPr>
        <w:pStyle w:val="Normal"/>
        <w:widowControl/>
        <w:ind w:end="360"/>
        <w:jc w:val="both"/>
        <w:rPr/>
      </w:pPr>
      <w:r>
        <w:rPr>
          <w:sz w:val="22"/>
        </w:rPr>
        <w:t>By:</w:t>
      </w:r>
      <w:r>
        <w:rPr>
          <w:sz w:val="22"/>
          <w:u w:val="single"/>
        </w:rPr>
        <w:tab/>
        <w:tab/>
        <w:tab/>
        <w:tab/>
        <w:tab/>
        <w:tab/>
      </w:r>
    </w:p>
    <w:p>
      <w:pPr>
        <w:pStyle w:val="Normal"/>
        <w:widowControl/>
        <w:ind w:end="360"/>
        <w:jc w:val="both"/>
        <w:rPr/>
      </w:pPr>
      <w:r>
        <w:rPr>
          <w:sz w:val="22"/>
        </w:rPr>
        <w:t>Name:</w:t>
      </w:r>
      <w:r>
        <w:rPr>
          <w:sz w:val="22"/>
          <w:u w:val="single"/>
        </w:rPr>
        <w:tab/>
        <w:tab/>
        <w:tab/>
        <w:tab/>
        <w:tab/>
        <w:tab/>
      </w:r>
    </w:p>
    <w:p>
      <w:pPr>
        <w:pStyle w:val="Normal"/>
        <w:widowControl/>
        <w:ind w:end="360"/>
        <w:jc w:val="both"/>
        <w:rPr/>
      </w:pPr>
      <w:r>
        <w:rPr>
          <w:sz w:val="22"/>
        </w:rPr>
        <w:t>Title:</w:t>
      </w:r>
      <w:r>
        <w:rPr>
          <w:sz w:val="22"/>
          <w:u w:val="single"/>
        </w:rPr>
        <w:tab/>
        <w:tab/>
        <w:tab/>
        <w:tab/>
        <w:tab/>
        <w:tab/>
      </w:r>
    </w:p>
    <w:p>
      <w:pPr>
        <w:pStyle w:val="Normal"/>
        <w:widowControl/>
        <w:ind w:end="360"/>
        <w:jc w:val="both"/>
        <w:rPr>
          <w:sz w:val="22"/>
          <w:u w:val="single"/>
        </w:rPr>
      </w:pPr>
      <w:r>
        <w:rPr>
          <w:sz w:val="22"/>
          <w:u w:val="single"/>
        </w:rPr>
      </w:r>
    </w:p>
    <w:p>
      <w:pPr>
        <w:pStyle w:val="Normal"/>
        <w:widowControl/>
        <w:ind w:end="360"/>
        <w:jc w:val="both"/>
        <w:rPr>
          <w:sz w:val="22"/>
          <w:u w:val="single"/>
        </w:rPr>
      </w:pPr>
      <w:r>
        <w:rPr>
          <w:sz w:val="22"/>
          <w:u w:val="single"/>
        </w:rPr>
      </w:r>
    </w:p>
    <w:p>
      <w:pPr>
        <w:pStyle w:val="Normal"/>
        <w:widowControl/>
        <w:ind w:end="360"/>
        <w:jc w:val="both"/>
        <w:rPr>
          <w:sz w:val="22"/>
          <w:u w:val="single"/>
        </w:rPr>
      </w:pPr>
      <w:r>
        <w:rPr>
          <w:sz w:val="22"/>
          <w:u w:val="single"/>
        </w:rPr>
      </w:r>
    </w:p>
    <w:p>
      <w:pPr>
        <w:pStyle w:val="Normal"/>
        <w:widowControl/>
        <w:ind w:end="360"/>
        <w:jc w:val="both"/>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19"/>
      </w:rPr>
    </w:pPr>
    <w:r>
      <w:rPr>
        <w:sz w:val="19"/>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Peoples Energy Corporation</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080" w:leader="none"/>
        <w:tab w:val="left" w:pos="153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0" w:start="0" w:end="36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 w:val="left" w:pos="936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2"/>
    </w:rPr>
  </w:style>
  <w:style w:type="paragraph" w:styleId="DocumentMap">
    <w:name w:val="Document Map"/>
    <w:basedOn w:val="Normal"/>
    <w:qFormat/>
    <w:pPr>
      <w:shd w:fill="000080" w:val="clear"/>
    </w:pPr>
    <w:rPr>
      <w:rFonts w:ascii="Tahoma" w:hAnsi="Tahoma" w:cs="Tahoma"/>
    </w:rPr>
  </w:style>
  <w:style w:type="paragraph" w:styleId="Justified">
    <w:name w:val="Justified"/>
    <w:basedOn w:val="Normal"/>
    <w:next w:val="Heading2"/>
    <w:qFormat/>
    <w:pPr>
      <w:spacing w:before="0" w:after="120"/>
      <w:jc w:val="both"/>
    </w:pPr>
    <w:rPr/>
  </w:style>
  <w:style w:type="paragraph" w:styleId="BodyText2">
    <w:name w:val="Body Text 2"/>
    <w:basedOn w:val="Normal"/>
    <w:qFormat/>
    <w:pPr>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2000-09-14T15:44:00Z</dcterms:created>
  <dc:creator>ECT</dc:creator>
  <dc:description/>
  <dc:language>en-CA</dc:language>
  <cp:lastModifiedBy>t_ahawt_wl</cp:lastModifiedBy>
  <cp:lastPrinted>2000-09-14T13:25:00Z</cp:lastPrinted>
  <dcterms:modified xsi:type="dcterms:W3CDTF">2000-09-14T15:56:00Z</dcterms:modified>
  <cp:revision>5</cp:revision>
  <dc:subject/>
  <dc:title>April ___, 1998</dc:title>
</cp:coreProperties>
</file>