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DRAFT 9/1/00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evidence the current mutual intent of Enron Midwest LLC ("Enron") and Peoples Energy Corporation ("Peoples") to evaluate a possible joint initiative by Enron and Peoples to monetize the gas storage assets of Peoples and Peoples’s affiliates (the “Proposed Transaction”). It is anticipated that the Proposed Transaction will include the monetization of Peoples’s (or its affiliates’) gas storage facilities, including the Manlove Field, by the use of both non-physical and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jc w:val="both"/>
        <w:rPr/>
      </w:pPr>
      <w:r>
        <w:rPr>
          <w:sz w:val="22"/>
        </w:rPr>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relating to the evaluation and negotiation of the Proposed Transaction.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subject to the confidentiality obligations, which shall remain in full force.</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three (3)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sz w:val="22"/>
        </w:rPr>
      </w:pPr>
      <w:r>
        <w:rPr>
          <w:sz w:val="22"/>
        </w:rPr>
        <w:tab/>
        <w:t>(c)</w:t>
        <w:tab/>
        <w:t>[The Definitive Agreements shall provide for similar cost sharing arrangements in connection with the Proposed Transaction.]</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Enron shall receive 50% of the net earnings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15, 2000.  </w:t>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manloveloisept1.doc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2000-09-01T12:57:00Z</dcterms:created>
  <dc:creator>ECT</dc:creator>
  <dc:description/>
  <dc:language>en-CA</dc:language>
  <cp:lastModifiedBy>kmann</cp:lastModifiedBy>
  <cp:lastPrinted>2000-09-01T10:20:00Z</cp:lastPrinted>
  <dcterms:modified xsi:type="dcterms:W3CDTF">2000-09-01T12:59:00Z</dcterms:modified>
  <cp:revision>4</cp:revision>
  <dc:subject/>
  <dc:title>April ___, 1998</dc:title>
</cp:coreProperties>
</file>