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when executed, will evidence the current mutual intent of [Enron North America ("</w:t>
      </w:r>
      <w:r>
        <w:rPr>
          <w:sz w:val="22"/>
          <w:u w:val="single"/>
        </w:rPr>
        <w:t>ENA</w:t>
      </w:r>
      <w:r>
        <w:rPr>
          <w:sz w:val="22"/>
        </w:rPr>
        <w:t>")] and Peoples Energy Corporation ("</w:t>
      </w:r>
      <w:r>
        <w:rPr>
          <w:sz w:val="22"/>
          <w:u w:val="single"/>
        </w:rPr>
        <w:t>PEC</w:t>
      </w:r>
      <w:r>
        <w:rPr>
          <w:sz w:val="22"/>
        </w:rPr>
        <w:t xml:space="preserve">") to evaluate a possible joint initiative by ENA and PEC to monetize the gas storage assets of PEC and PEC’s affiliates (the “Proposed Transaction”). It is anticipated that the Proposed Transaction will include the monetization of PEC’s (or its affiliates) gas storage facilities, including the Manlove Field, by the use of both non-physical and physical monetization methods.  This Letter further evidences the agreement of ENA and PEC as to responsibility for expenses, confidentiality, exclusivity and certain other matters, as set forth in this Letter.  </w:t>
      </w:r>
    </w:p>
    <w:p>
      <w:pPr>
        <w:pStyle w:val="Normal"/>
        <w:widowControl/>
        <w:jc w:val="both"/>
        <w:rPr>
          <w:sz w:val="22"/>
        </w:rPr>
      </w:pPr>
      <w:r>
        <w:rPr>
          <w:sz w:val="22"/>
        </w:rPr>
      </w:r>
    </w:p>
    <w:p>
      <w:pPr>
        <w:pStyle w:val="Normal"/>
        <w:widowControl/>
        <w:jc w:val="both"/>
        <w:rPr/>
      </w:pPr>
      <w:r>
        <w:rPr>
          <w:sz w:val="22"/>
        </w:rPr>
        <w:t>ENA and PEC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_______________, _______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If, prior to the Parties' execution of Definitive Agreements or the Termination Date, </w:t>
      </w:r>
      <w:r>
        <w:rPr>
          <w:spacing w:val="-3"/>
          <w:sz w:val="22"/>
        </w:rPr>
        <w:t>a Party gives notice to the other Party that it will not participate in the Proposed Transaction, then the non-withdrawing Party shall be free to pursue the Proposed Transaction, by itself or with any third party, subject to the confidentiality obligations, which shall remain in full force.</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ENA,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The Parties further acknowledge that the monetization methodology proposed by ENA to be used in the Proposed Transaction is proprietary information of ENA, and therefore may not be utilized or disclosed by PEC except in connection with the Proposed Transaction with ENA for a period of five (5)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[ENGINEERING CONTRACTOR] relating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ENA and PEC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sz w:val="22"/>
        </w:rPr>
      </w:pPr>
      <w:r>
        <w:rPr>
          <w:sz w:val="22"/>
        </w:rPr>
        <w:tab/>
        <w:t>(c)</w:t>
        <w:tab/>
        <w:t>[The Definitive Agreements shall provide for similar cost sharing arrangements in connection with the Proposed Transaction.]</w:t>
      </w:r>
    </w:p>
    <w:p>
      <w:pPr>
        <w:pStyle w:val="Normal"/>
        <w:widowControl/>
        <w:ind w:end="360"/>
        <w:jc w:val="both"/>
        <w:rPr>
          <w:sz w:val="22"/>
        </w:rPr>
      </w:pPr>
      <w:r>
        <w:rPr>
          <w:sz w:val="22"/>
        </w:rPr>
      </w:r>
    </w:p>
    <w:p>
      <w:pPr>
        <w:pStyle w:val="Normal"/>
        <w:jc w:val="both"/>
        <w:rPr/>
      </w:pPr>
      <w:r>
        <w:rPr>
          <w:b/>
          <w:sz w:val="22"/>
        </w:rPr>
        <w:tab/>
        <w:t>4.</w:t>
        <w:tab/>
      </w:r>
      <w:r>
        <w:rPr>
          <w:b/>
          <w:sz w:val="22"/>
          <w:u w:val="single"/>
        </w:rPr>
        <w:t>Relationship of the Parties</w:t>
      </w:r>
      <w:r>
        <w:rPr>
          <w:b/>
          <w:sz w:val="22"/>
        </w:rPr>
        <w:t>.</w:t>
      </w:r>
      <w:r>
        <w:rPr>
          <w:sz w:val="22"/>
        </w:rPr>
        <w:t xml:space="preserve"> </w:t>
      </w:r>
      <w:r>
        <w:rPr>
          <w:spacing w:val="-3"/>
          <w:sz w:val="22"/>
        </w:rPr>
        <w:tab/>
      </w:r>
    </w:p>
    <w:p>
      <w:pPr>
        <w:pStyle w:val="Normal"/>
        <w:ind w:firstLine="720" w:end="0"/>
        <w:jc w:val="both"/>
        <w:rPr>
          <w:spacing w:val="-3"/>
          <w:sz w:val="22"/>
        </w:rPr>
      </w:pPr>
      <w:r>
        <w:rPr>
          <w:spacing w:val="-3"/>
          <w:sz w:val="22"/>
        </w:rPr>
      </w:r>
    </w:p>
    <w:p>
      <w:pPr>
        <w:pStyle w:val="Normal"/>
        <w:ind w:firstLine="720" w:end="0"/>
        <w:jc w:val="both"/>
        <w:rPr/>
      </w:pPr>
      <w:r>
        <w:rPr>
          <w:spacing w:val="-3"/>
          <w:sz w:val="22"/>
        </w:rPr>
        <w:t>(a)</w:t>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r>
    </w:p>
    <w:p>
      <w:pPr>
        <w:pStyle w:val="Normal"/>
        <w:jc w:val="both"/>
        <w:rPr/>
      </w:pPr>
      <w:r>
        <w:rPr>
          <w:sz w:val="22"/>
        </w:rPr>
        <w:tab/>
        <w:t>(b)</w:t>
        <w:tab/>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set forth in [</w:t>
      </w:r>
      <w:r>
        <w:rPr>
          <w:sz w:val="22"/>
          <w:u w:val="single"/>
        </w:rPr>
        <w:t>Paragraphs 1, 2</w:t>
      </w:r>
      <w:r>
        <w:rPr>
          <w:sz w:val="22"/>
        </w:rPr>
        <w:t xml:space="preserve">, and </w:t>
      </w:r>
      <w:r>
        <w:rPr>
          <w:sz w:val="22"/>
          <w:u w:val="single"/>
        </w:rPr>
        <w:t>3]</w:t>
      </w:r>
      <w:r>
        <w:rPr>
          <w:sz w:val="22"/>
        </w:rPr>
        <w:t xml:space="preserve"> above.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w:t>
      </w:r>
    </w:p>
    <w:p>
      <w:pPr>
        <w:pStyle w:val="Normal"/>
        <w:jc w:val="both"/>
        <w:rPr>
          <w:sz w:val="22"/>
        </w:rPr>
      </w:pPr>
      <w:r>
        <w:rPr>
          <w:sz w:val="22"/>
        </w:rPr>
      </w:r>
    </w:p>
    <w:p>
      <w:pPr>
        <w:pStyle w:val="BodyText2"/>
        <w:rPr/>
      </w:pPr>
      <w:r>
        <w:rPr/>
        <w:tab/>
        <w:t>(c)</w:t>
        <w:tab/>
        <w:t>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p>
    <w:p>
      <w:pPr>
        <w:pStyle w:val="Normal"/>
        <w:widowControl/>
        <w:ind w:end="360"/>
        <w:jc w:val="both"/>
        <w:rPr>
          <w:sz w:val="22"/>
        </w:rPr>
      </w:pPr>
      <w:r>
        <w:rPr>
          <w:sz w:val="22"/>
        </w:rPr>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ENA (or its affiliates or designees) shall have the primary responsibility for leading the financial, legal, accounting and engineering efforts in connection with structuring the Proposed Transaction. PEC and ENA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ENA shall receive 50% of the net earnings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ENA, to the attention of the undersigned, by 5:00 p.m. (Houston, Texas time) on or before September 15, 2000.  </w:t>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manloveloi-37b48cfafb0f81895c2572ac7478d80866d36ad6dbe029fa2bdc887b0211fff5.doc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2000-09-01T10:26:00Z</dcterms:created>
  <dc:creator>ECT</dc:creator>
  <dc:description/>
  <dc:language>en-CA</dc:language>
  <cp:lastModifiedBy>kmann</cp:lastModifiedBy>
  <cp:lastPrinted>2000-09-01T08:09:00Z</cp:lastPrinted>
  <dcterms:modified xsi:type="dcterms:W3CDTF">2000-09-01T10:39:00Z</dcterms:modified>
  <cp:revision>3</cp:revision>
  <dc:subject/>
  <dc:title>April ___, 1998</dc:title>
</cp:coreProperties>
</file>