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Day one, Thursday November 16th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Fostering a risk-aware corporate culture to support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Techniques and strategies for effective enterprise-wide risk management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Ehud Ronn,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University of Texas</w:t>
      </w:r>
    </w:p>
    <w:p>
      <w:pPr>
        <w:pStyle w:val="Normal"/>
        <w:ind w:firstLine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Developing an effective risk inventory for enterprise risk control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Integrating market and credit risk within an enterprise risk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Techniques for the clarification and quantification of operational risk within the energy industry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Examining your enterprise risk management following mergers and acquisitions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Developing IT systems to support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Day two, Friday November 17th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FASB 133, Statement 98-10 and its impact on risk and hedge books 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Using forward curves in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VaR, stress testing and extreme value theory within an enterprise risk management framework</w:t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Incorporating real option theory within a deregulated market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Accurate capital allocation techniques within an enterprise management framework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Peter Nance,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Teknecon</w:t>
      </w:r>
    </w:p>
    <w:p>
      <w:pPr>
        <w:pStyle w:val="Normal"/>
        <w:ind w:firstLine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 xml:space="preserve">Processes for auditing enterprise risk management results </w:t>
      </w:r>
    </w:p>
    <w:p>
      <w:pPr>
        <w:pStyle w:val="Normal"/>
        <w:rPr>
          <w:rFonts w:ascii="Arial" w:hAnsi="Arial" w:cs="Arial"/>
          <w:b/>
          <w:i/>
          <w:i/>
          <w:sz w:val="22"/>
        </w:rPr>
      </w:pPr>
      <w:r>
        <w:rPr>
          <w:rFonts w:cs="Arial" w:ascii="Arial" w:hAnsi="Arial"/>
          <w:b/>
          <w:i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 committed capital approach to insuring against negative pre-event pricing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Mark Green,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Swiss Re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Managing the impact of fuel price risk within an enterprise risk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Pre - course seminar. Wednesday November 15th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  <w:u w:val="single"/>
        </w:rPr>
        <w:t>Utilising risk management systems to enhance enterprise risk management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Deregulation as the driver for enhanced technological risk management solutions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Shannon Burchett,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Risk Limited Corp.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Optimal data management to support enterprise risk management systems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Ensuring an effective IT system is in place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Auditing systems and processes within your enterprise risk management function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Examining current industry models and their effectiveness within an enterprise risk management framework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2000-08-03T07:43:00Z</dcterms:created>
  <dc:creator>RISK</dc:creator>
  <dc:description/>
  <dc:language>en-CA</dc:language>
  <cp:lastModifiedBy>RISK</cp:lastModifiedBy>
  <cp:lastPrinted>2000-08-02T11:34:00Z</cp:lastPrinted>
  <dcterms:modified xsi:type="dcterms:W3CDTF">2000-08-03T07:43:00Z</dcterms:modified>
  <cp:revision>2</cp:revision>
  <dc:subject/>
  <dc:title>Day one, Thursday November 16th</dc:title>
</cp:coreProperties>
</file>