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2"/>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rFonts w:ascii="Times New Roman" w:hAnsi="Times New Roman" w:cs="Times New Roman"/>
          <w:sz w:val="22"/>
        </w:rPr>
      </w:pPr>
      <w:r>
        <w:rPr>
          <w:rFonts w:cs="Times New Roman" w:ascii="Times New Roman" w:hAnsi="Times New Roman"/>
          <w:sz w:val="22"/>
        </w:rPr>
        <w:tab/>
      </w:r>
    </w:p>
    <w:tbl>
      <w:tblPr>
        <w:tblW w:w="10708" w:type="dxa"/>
        <w:jc w:val="start"/>
        <w:tblInd w:w="200" w:type="dxa"/>
        <w:tblLayout w:type="fixed"/>
        <w:tblCellMar>
          <w:top w:w="0" w:type="dxa"/>
          <w:start w:w="108" w:type="dxa"/>
          <w:bottom w:w="0" w:type="dxa"/>
          <w:end w:w="108" w:type="dxa"/>
        </w:tblCellMar>
      </w:tblPr>
      <w:tblGrid>
        <w:gridCol w:w="896"/>
        <w:gridCol w:w="2"/>
        <w:gridCol w:w="5128"/>
        <w:gridCol w:w="2"/>
        <w:gridCol w:w="1528"/>
        <w:gridCol w:w="2"/>
        <w:gridCol w:w="3148"/>
        <w:gridCol w:w="2"/>
      </w:tblGrid>
      <w:tr>
        <w:trPr>
          <w:trHeight w:val="300" w:hRule="exact"/>
        </w:trPr>
        <w:tc>
          <w:tcPr>
            <w:tcW w:w="898" w:type="dxa"/>
            <w:gridSpan w:val="2"/>
            <w:tcBorders/>
          </w:tcPr>
          <w:p>
            <w:pPr>
              <w:pStyle w:val="Normal"/>
              <w:spacing w:lineRule="exact" w:line="260"/>
              <w:ind w:start="-187" w:end="0"/>
              <w:jc w:val="end"/>
              <w:rPr>
                <w:rFonts w:ascii="Times New Roman" w:hAnsi="Times New Roman" w:cs="Times New Roman"/>
                <w:sz w:val="22"/>
              </w:rPr>
            </w:pPr>
            <w:r>
              <w:rPr>
                <w:rFonts w:cs="Times New Roman" w:ascii="Times New Roman" w:hAnsi="Times New Roman"/>
                <w:sz w:val="22"/>
              </w:rPr>
              <w:t>To:</w:t>
            </w:r>
          </w:p>
        </w:tc>
        <w:tc>
          <w:tcPr>
            <w:tcW w:w="5130" w:type="dxa"/>
            <w:gridSpan w:val="2"/>
            <w:tcBorders/>
          </w:tcPr>
          <w:p>
            <w:pPr>
              <w:pStyle w:val="To"/>
              <w:spacing w:lineRule="exact" w:line="280"/>
              <w:rPr>
                <w:rFonts w:ascii="Times New Roman" w:hAnsi="Times New Roman" w:cs="Times New Roman"/>
                <w:sz w:val="22"/>
              </w:rPr>
            </w:pPr>
            <w:r>
              <w:rPr>
                <w:rFonts w:cs="Times New Roman" w:ascii="Times New Roman" w:hAnsi="Times New Roman"/>
                <w:sz w:val="22"/>
              </w:rPr>
              <w:t>Distribution</w:t>
            </w:r>
          </w:p>
        </w:tc>
        <w:tc>
          <w:tcPr>
            <w:tcW w:w="1530" w:type="dxa"/>
            <w:gridSpan w:val="2"/>
            <w:tcBorders/>
          </w:tcPr>
          <w:p>
            <w:pPr>
              <w:pStyle w:val="Normal"/>
              <w:snapToGrid w:val="false"/>
              <w:spacing w:lineRule="exact" w:line="280"/>
              <w:ind w:start="-180" w:end="0"/>
              <w:rPr>
                <w:rFonts w:ascii="Times New Roman" w:hAnsi="Times New Roman" w:cs="Times New Roman"/>
                <w:sz w:val="22"/>
              </w:rPr>
            </w:pPr>
            <w:r>
              <w:rPr>
                <w:rFonts w:cs="Times New Roman" w:ascii="Times New Roman" w:hAnsi="Times New Roman"/>
                <w:sz w:val="22"/>
              </w:rPr>
            </w:r>
          </w:p>
        </w:tc>
        <w:tc>
          <w:tcPr>
            <w:tcW w:w="3150" w:type="dxa"/>
            <w:tcBorders/>
          </w:tcPr>
          <w:p>
            <w:pPr>
              <w:pStyle w:val="Normal"/>
              <w:snapToGrid w:val="false"/>
              <w:spacing w:lineRule="exact" w:line="280"/>
              <w:rPr>
                <w:rFonts w:ascii="Times New Roman" w:hAnsi="Times New Roman" w:cs="Times New Roman"/>
                <w:sz w:val="22"/>
              </w:rPr>
            </w:pPr>
            <w:r>
              <w:rPr>
                <w:rFonts w:cs="Times New Roman" w:ascii="Times New Roman" w:hAnsi="Times New Roman"/>
                <w:sz w:val="22"/>
              </w:rPr>
            </w:r>
          </w:p>
        </w:tc>
      </w:tr>
      <w:tr>
        <w:trPr>
          <w:trHeight w:val="280" w:hRule="exact"/>
        </w:trPr>
        <w:tc>
          <w:tcPr>
            <w:tcW w:w="896" w:type="dxa"/>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130" w:type="dxa"/>
            <w:gridSpan w:val="2"/>
            <w:tcBorders/>
          </w:tcPr>
          <w:p>
            <w:pPr>
              <w:pStyle w:val="Normal"/>
              <w:snapToGrid w:val="false"/>
              <w:spacing w:lineRule="exact" w:line="380"/>
              <w:rPr>
                <w:rFonts w:ascii="Times New Roman" w:hAnsi="Times New Roman" w:cs="Times New Roman"/>
                <w:sz w:val="22"/>
              </w:rPr>
            </w:pPr>
            <w:r>
              <w:rPr>
                <w:rFonts w:cs="Times New Roman" w:ascii="Times New Roman" w:hAnsi="Times New Roman"/>
                <w:sz w:val="22"/>
              </w:rPr>
            </w:r>
          </w:p>
          <w:p>
            <w:pPr>
              <w:pStyle w:val="Normal"/>
              <w:spacing w:lineRule="exact" w:line="380"/>
              <w:rPr>
                <w:rFonts w:ascii="Times New Roman" w:hAnsi="Times New Roman" w:cs="Times New Roman"/>
                <w:sz w:val="22"/>
              </w:rPr>
            </w:pPr>
            <w:r>
              <w:rPr>
                <w:rFonts w:cs="Times New Roman" w:ascii="Times New Roman" w:hAnsi="Times New Roman"/>
                <w:sz w:val="22"/>
              </w:rPr>
            </w:r>
          </w:p>
        </w:tc>
        <w:tc>
          <w:tcPr>
            <w:tcW w:w="1530" w:type="dxa"/>
            <w:gridSpan w:val="2"/>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3150" w:type="dxa"/>
            <w:gridSpan w:val="2"/>
            <w:tcBorders/>
          </w:tcPr>
          <w:p>
            <w:pPr>
              <w:pStyle w:val="Normal"/>
              <w:snapToGrid w:val="false"/>
              <w:spacing w:lineRule="exact" w:line="260"/>
              <w:rPr>
                <w:rFonts w:ascii="Times New Roman" w:hAnsi="Times New Roman" w:cs="Times New Roman"/>
                <w:sz w:val="22"/>
              </w:rPr>
            </w:pPr>
            <w:r>
              <w:rPr>
                <w:rFonts w:cs="Times New Roman" w:ascii="Times New Roman" w:hAnsi="Times New Roman"/>
                <w:sz w:val="22"/>
              </w:rPr>
            </w:r>
          </w:p>
        </w:tc>
      </w:tr>
      <w:tr>
        <w:trPr>
          <w:trHeight w:val="300" w:hRule="exact"/>
        </w:trPr>
        <w:tc>
          <w:tcPr>
            <w:tcW w:w="898" w:type="dxa"/>
            <w:gridSpan w:val="2"/>
            <w:tcBorders/>
          </w:tcPr>
          <w:p>
            <w:pPr>
              <w:pStyle w:val="Normal"/>
              <w:spacing w:lineRule="atLeast" w:line="260"/>
              <w:ind w:start="-187" w:end="0"/>
              <w:jc w:val="end"/>
              <w:rPr>
                <w:rFonts w:ascii="Times New Roman" w:hAnsi="Times New Roman" w:cs="Times New Roman"/>
                <w:sz w:val="22"/>
              </w:rPr>
            </w:pPr>
            <w:r>
              <w:rPr>
                <w:rFonts w:cs="Times New Roman" w:ascii="Times New Roman" w:hAnsi="Times New Roman"/>
                <w:sz w:val="22"/>
              </w:rPr>
              <w:t>From:</w:t>
            </w:r>
          </w:p>
        </w:tc>
        <w:tc>
          <w:tcPr>
            <w:tcW w:w="5130" w:type="dxa"/>
            <w:gridSpan w:val="2"/>
            <w:tcBorders/>
          </w:tcPr>
          <w:p>
            <w:pPr>
              <w:pStyle w:val="From"/>
              <w:spacing w:lineRule="exact" w:line="280"/>
              <w:rPr>
                <w:rFonts w:ascii="Times New Roman" w:hAnsi="Times New Roman" w:cs="Times New Roman"/>
                <w:sz w:val="22"/>
              </w:rPr>
            </w:pPr>
            <w:r>
              <w:rPr>
                <w:rFonts w:cs="Times New Roman" w:ascii="Times New Roman" w:hAnsi="Times New Roman"/>
                <w:sz w:val="22"/>
              </w:rPr>
              <w:t xml:space="preserve">Margaret Carson            </w:t>
            </w:r>
          </w:p>
        </w:tc>
        <w:tc>
          <w:tcPr>
            <w:tcW w:w="1530" w:type="dxa"/>
            <w:gridSpan w:val="2"/>
            <w:tcBorders/>
          </w:tcPr>
          <w:p>
            <w:pPr>
              <w:pStyle w:val="Normal"/>
              <w:spacing w:lineRule="exact" w:line="280"/>
              <w:ind w:start="-187" w:end="0"/>
              <w:jc w:val="end"/>
              <w:rPr>
                <w:rFonts w:ascii="Times New Roman" w:hAnsi="Times New Roman" w:cs="Times New Roman"/>
                <w:sz w:val="22"/>
              </w:rPr>
            </w:pPr>
            <w:r>
              <w:rPr>
                <w:rFonts w:cs="Times New Roman" w:ascii="Times New Roman" w:hAnsi="Times New Roman"/>
                <w:sz w:val="22"/>
              </w:rPr>
              <w:t>Department:</w:t>
            </w:r>
          </w:p>
        </w:tc>
        <w:tc>
          <w:tcPr>
            <w:tcW w:w="3150" w:type="dxa"/>
            <w:tcBorders/>
          </w:tcPr>
          <w:p>
            <w:pPr>
              <w:pStyle w:val="Department"/>
              <w:rPr>
                <w:rFonts w:ascii="Times New Roman" w:hAnsi="Times New Roman" w:cs="Times New Roman"/>
                <w:sz w:val="22"/>
              </w:rPr>
            </w:pPr>
            <w:bookmarkStart w:id="0" w:name="From"/>
            <w:bookmarkEnd w:id="0"/>
            <w:r>
              <w:rPr>
                <w:rFonts w:cs="Times New Roman" w:ascii="Times New Roman" w:hAnsi="Times New Roman"/>
                <w:sz w:val="22"/>
              </w:rPr>
              <w:t>Competitive Analysis</w:t>
            </w:r>
          </w:p>
        </w:tc>
      </w:tr>
      <w:tr>
        <w:trPr>
          <w:trHeight w:val="216" w:hRule="exact"/>
        </w:trPr>
        <w:tc>
          <w:tcPr>
            <w:tcW w:w="898" w:type="dxa"/>
            <w:gridSpan w:val="2"/>
            <w:tcBorders/>
          </w:tcPr>
          <w:p>
            <w:pPr>
              <w:pStyle w:val="Normal"/>
              <w:snapToGrid w:val="false"/>
              <w:ind w:start="-180" w:end="0"/>
              <w:jc w:val="end"/>
              <w:rPr>
                <w:rFonts w:ascii="Times New Roman" w:hAnsi="Times New Roman" w:cs="Times New Roman"/>
                <w:sz w:val="22"/>
              </w:rPr>
            </w:pPr>
            <w:r>
              <w:rPr>
                <w:rFonts w:cs="Times New Roman" w:ascii="Times New Roman" w:hAnsi="Times New Roman"/>
                <w:sz w:val="22"/>
              </w:rPr>
            </w:r>
          </w:p>
        </w:tc>
        <w:tc>
          <w:tcPr>
            <w:tcW w:w="5130" w:type="dxa"/>
            <w:gridSpan w:val="2"/>
            <w:tcBorders/>
          </w:tcPr>
          <w:p>
            <w:pPr>
              <w:pStyle w:val="Normal"/>
              <w:snapToGrid w:val="false"/>
              <w:spacing w:lineRule="exact" w:line="220"/>
              <w:rPr>
                <w:rFonts w:ascii="Times New Roman" w:hAnsi="Times New Roman" w:cs="Times New Roman"/>
                <w:sz w:val="22"/>
              </w:rPr>
            </w:pPr>
            <w:r>
              <w:rPr>
                <w:rFonts w:cs="Times New Roman" w:ascii="Times New Roman" w:hAnsi="Times New Roman"/>
                <w:sz w:val="22"/>
              </w:rPr>
            </w:r>
          </w:p>
        </w:tc>
        <w:tc>
          <w:tcPr>
            <w:tcW w:w="1530" w:type="dxa"/>
            <w:gridSpan w:val="2"/>
            <w:tcBorders/>
          </w:tcPr>
          <w:p>
            <w:pPr>
              <w:pStyle w:val="Normal"/>
              <w:snapToGrid w:val="false"/>
              <w:ind w:start="-180" w:end="0"/>
              <w:rPr>
                <w:rFonts w:ascii="Times New Roman" w:hAnsi="Times New Roman" w:cs="Times New Roman"/>
                <w:sz w:val="22"/>
              </w:rPr>
            </w:pPr>
            <w:r>
              <w:rPr>
                <w:rFonts w:cs="Times New Roman" w:ascii="Times New Roman" w:hAnsi="Times New Roman"/>
                <w:sz w:val="22"/>
              </w:rPr>
            </w:r>
          </w:p>
        </w:tc>
        <w:tc>
          <w:tcPr>
            <w:tcW w:w="3150" w:type="dxa"/>
            <w:tcBorders/>
          </w:tcPr>
          <w:p>
            <w:pPr>
              <w:pStyle w:val="Normal"/>
              <w:snapToGrid w:val="false"/>
              <w:rPr>
                <w:rFonts w:ascii="Times New Roman" w:hAnsi="Times New Roman" w:cs="Times New Roman"/>
                <w:sz w:val="22"/>
              </w:rPr>
            </w:pPr>
            <w:r>
              <w:rPr>
                <w:rFonts w:cs="Times New Roman" w:ascii="Times New Roman" w:hAnsi="Times New Roman"/>
                <w:sz w:val="22"/>
              </w:rPr>
            </w:r>
          </w:p>
        </w:tc>
      </w:tr>
      <w:tr>
        <w:trPr>
          <w:trHeight w:val="600" w:hRule="exact"/>
        </w:trPr>
        <w:tc>
          <w:tcPr>
            <w:tcW w:w="898" w:type="dxa"/>
            <w:gridSpan w:val="2"/>
            <w:tcBorders>
              <w:bottom w:val="single" w:sz="18" w:space="0" w:color="000000"/>
            </w:tcBorders>
          </w:tcPr>
          <w:p>
            <w:pPr>
              <w:pStyle w:val="Normal"/>
              <w:spacing w:lineRule="exact" w:line="260"/>
              <w:ind w:start="-187" w:end="0"/>
              <w:jc w:val="end"/>
              <w:rPr>
                <w:rFonts w:ascii="Times New Roman" w:hAnsi="Times New Roman" w:cs="Times New Roman"/>
                <w:sz w:val="22"/>
              </w:rPr>
            </w:pPr>
            <w:r>
              <w:rPr>
                <w:rFonts w:cs="Times New Roman" w:ascii="Times New Roman" w:hAnsi="Times New Roman"/>
                <w:sz w:val="22"/>
              </w:rPr>
              <w:t>Subject:</w:t>
            </w:r>
          </w:p>
        </w:tc>
        <w:tc>
          <w:tcPr>
            <w:tcW w:w="5130" w:type="dxa"/>
            <w:gridSpan w:val="2"/>
            <w:tcBorders>
              <w:bottom w:val="single" w:sz="18" w:space="0" w:color="000000"/>
            </w:tcBorders>
          </w:tcPr>
          <w:p>
            <w:pPr>
              <w:pStyle w:val="Subject"/>
              <w:spacing w:lineRule="exact" w:line="300"/>
              <w:rPr>
                <w:rFonts w:ascii="Times New Roman" w:hAnsi="Times New Roman" w:cs="Times New Roman"/>
                <w:sz w:val="22"/>
              </w:rPr>
            </w:pPr>
            <w:bookmarkStart w:id="1" w:name="Subject"/>
            <w:bookmarkEnd w:id="1"/>
            <w:r>
              <w:rPr>
                <w:rFonts w:cs="Times New Roman" w:ascii="Times New Roman" w:hAnsi="Times New Roman"/>
                <w:sz w:val="22"/>
              </w:rPr>
              <w:t>British Institute of Energy Economics                        Conference Papers</w:t>
            </w:r>
          </w:p>
        </w:tc>
        <w:tc>
          <w:tcPr>
            <w:tcW w:w="1530" w:type="dxa"/>
            <w:gridSpan w:val="2"/>
            <w:tcBorders>
              <w:bottom w:val="single" w:sz="18" w:space="0" w:color="000000"/>
            </w:tcBorders>
          </w:tcPr>
          <w:p>
            <w:pPr>
              <w:pStyle w:val="Normal"/>
              <w:spacing w:lineRule="exact" w:line="300"/>
              <w:ind w:start="-180" w:end="0"/>
              <w:jc w:val="end"/>
              <w:rPr>
                <w:rFonts w:ascii="Times New Roman" w:hAnsi="Times New Roman" w:cs="Times New Roman"/>
                <w:sz w:val="22"/>
              </w:rPr>
            </w:pPr>
            <w:r>
              <w:rPr>
                <w:rFonts w:cs="Times New Roman" w:ascii="Times New Roman" w:hAnsi="Times New Roman"/>
                <w:sz w:val="22"/>
              </w:rPr>
              <w:t>Date:</w:t>
            </w:r>
          </w:p>
        </w:tc>
        <w:tc>
          <w:tcPr>
            <w:tcW w:w="3150" w:type="dxa"/>
            <w:tcBorders>
              <w:bottom w:val="single" w:sz="18" w:space="0" w:color="000000"/>
            </w:tcBorders>
          </w:tcPr>
          <w:p>
            <w:pPr>
              <w:pStyle w:val="Date"/>
              <w:spacing w:lineRule="exact" w:line="300"/>
              <w:rPr>
                <w:rFonts w:ascii="Times New Roman" w:hAnsi="Times New Roman" w:cs="Times New Roman"/>
                <w:sz w:val="22"/>
              </w:rPr>
            </w:pPr>
            <w:r>
              <w:rPr>
                <w:rFonts w:cs="Times New Roman" w:ascii="Times New Roman" w:hAnsi="Times New Roman"/>
                <w:sz w:val="22"/>
              </w:rPr>
              <w:t>September 27, 1999</w:t>
            </w:r>
          </w:p>
        </w:tc>
      </w:tr>
    </w:tbl>
    <w:p>
      <w:pPr>
        <w:pStyle w:val="Body"/>
        <w:ind w:start="180" w:end="0"/>
        <w:rPr>
          <w:rFonts w:ascii="Times New Roman" w:hAnsi="Times New Roman" w:cs="Times New Roman"/>
          <w:sz w:val="22"/>
        </w:rPr>
      </w:pPr>
      <w:r>
        <w:rPr>
          <w:rFonts w:cs="Times New Roman" w:ascii="Times New Roman" w:hAnsi="Times New Roman"/>
          <w:sz w:val="22"/>
        </w:rPr>
      </w:r>
    </w:p>
    <w:p>
      <w:pPr>
        <w:pStyle w:val="BodyText2"/>
        <w:rPr>
          <w:sz w:val="22"/>
        </w:rPr>
      </w:pPr>
      <w:r>
        <w:rPr>
          <w:sz w:val="22"/>
        </w:rPr>
        <w:t>The following are excerpts from 20 papers (US, UK and worldwide) delivered at the conference on “A New Era for Energy; Price Signals? Industry Structure, and Environment” - British Institute of Energy Economics, St. John’s College, Oxford, September 19-21, 1999.  If you would like a full copy of any of the papers, e-mail me or             Joan Stransky.  Thank you.</w:t>
      </w:r>
    </w:p>
    <w:p>
      <w:pPr>
        <w:pStyle w:val="Footer"/>
        <w:tabs>
          <w:tab w:val="clear" w:pos="4320"/>
          <w:tab w:val="clear" w:pos="8640"/>
        </w:tabs>
        <w:spacing w:lineRule="auto" w:line="360"/>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i/>
          <w:sz w:val="22"/>
        </w:rPr>
        <w:t>Paper 1 -  “Analysis of Production Sharing Agreement” - K. Bindemann, Oxford Institute for Energy</w:t>
      </w:r>
      <w:r>
        <w:rPr>
          <w:rFonts w:cs="Times New Roman" w:ascii="Times New Roman" w:hAnsi="Times New Roman"/>
          <w:sz w:val="22"/>
        </w:rPr>
        <w:t>:  Of the 268 PSAs in their data series, only 45 have fixed profit oil price shares and the majority favor sliding scales.  There seems to be little variation between offshore and onshore contracts in regard to minimum shares, but large differences as to maximum entitlements.  Few PSAs demand payment of discovery bonuses.  Indonesia has the most PSAs (37), Asia has 80 overall, and South America is second at 69.</w:t>
        <w:br/>
      </w:r>
    </w:p>
    <w:p>
      <w:pPr>
        <w:pStyle w:val="Normal"/>
        <w:rPr/>
      </w:pPr>
      <w:r>
        <w:rPr>
          <w:rFonts w:cs="Times New Roman" w:ascii="Times New Roman" w:hAnsi="Times New Roman"/>
          <w:b/>
          <w:i/>
          <w:sz w:val="22"/>
        </w:rPr>
        <w:t>Paper 2 - “Oil and the WTO” - Dr. Peter Greenhalgh, Oxford</w:t>
      </w:r>
      <w:r>
        <w:rPr>
          <w:rFonts w:cs="Times New Roman" w:ascii="Times New Roman" w:hAnsi="Times New Roman"/>
          <w:sz w:val="22"/>
        </w:rPr>
        <w:t>:   Unlike GATT, WTO offers a single package of rights for members to accept as a whole -- as well as a number of “plurilateral” agreements.  It offers a legal frame under which countries can more easily protect themselves against unilateral moves bye others.</w:t>
        <w:br/>
      </w:r>
    </w:p>
    <w:p>
      <w:pPr>
        <w:pStyle w:val="Normal"/>
        <w:rPr>
          <w:rFonts w:ascii="Times New Roman" w:hAnsi="Times New Roman" w:cs="Times New Roman"/>
          <w:sz w:val="22"/>
        </w:rPr>
      </w:pPr>
      <w:r>
        <w:rPr>
          <w:rFonts w:cs="Times New Roman" w:ascii="Times New Roman" w:hAnsi="Times New Roman"/>
          <w:sz w:val="22"/>
        </w:rPr>
        <w:t>A key feature of WTO is the binding of tariffs where members agree to a low or zero tariff.  Under current WTO rules, a country can impose almost any tax it wants, provided it does not discriminate between domestically produced and imported goods.</w:t>
      </w:r>
    </w:p>
    <w:p>
      <w:pPr>
        <w:pStyle w:val="Normal"/>
        <w:rPr>
          <w:rFonts w:ascii="Times New Roman" w:hAnsi="Times New Roman" w:cs="Times New Roman"/>
          <w:sz w:val="22"/>
        </w:rPr>
      </w:pPr>
      <w:r>
        <w:rPr>
          <w:rFonts w:cs="Times New Roman" w:ascii="Times New Roman" w:hAnsi="Times New Roman"/>
          <w:sz w:val="22"/>
        </w:rPr>
      </w:r>
    </w:p>
    <w:p>
      <w:pPr>
        <w:pStyle w:val="BodyText"/>
        <w:rPr/>
      </w:pPr>
      <w:r>
        <w:rPr>
          <w:sz w:val="22"/>
        </w:rPr>
        <w:t xml:space="preserve">Paper 3 - “Utility Regulation in Britain and the State It’s  In” - Professor Colin Robinson, Institute of Economic Affairs:  </w:t>
      </w:r>
      <w:r>
        <w:rPr>
          <w:b w:val="false"/>
          <w:i w:val="false"/>
          <w:sz w:val="22"/>
        </w:rPr>
        <w:t>In Britain (a) the constant interference of the regulators in power and gas is mainly absent (note the exception of the gas moratorium) versus the time of rigidly state-owned businesses, (b) price cap regulation is closely consistent with competitive markets, and (c) the duty of pro-competition is allowing further entry after initial stages.</w:t>
        <w:br/>
      </w:r>
    </w:p>
    <w:p>
      <w:pPr>
        <w:pStyle w:val="BodyText"/>
        <w:rPr/>
      </w:pPr>
      <w:r>
        <w:rPr>
          <w:sz w:val="22"/>
        </w:rPr>
        <w:t xml:space="preserve">Paper 4 - “Competitive Power and Emissions Trading in Europe” - Dr. Michael Morrison, Caminus Consulting:  </w:t>
      </w:r>
      <w:r>
        <w:rPr>
          <w:b w:val="false"/>
          <w:i w:val="false"/>
          <w:sz w:val="22"/>
        </w:rPr>
        <w:t>An example of potential benefits of trade in emissions, the paper considers Spain and Germany with different abatement targets.  Spain is limited to a 15% increase versus 1990 levels and Germany to reduce to 21% below 1990 by 2008-2012.  Both are carbon-prone economies and have domestic coal use.  As more gas-fired power enters Spain, it reduces its CO</w:t>
      </w:r>
      <w:r>
        <w:rPr>
          <w:b w:val="false"/>
          <w:i w:val="false"/>
          <w:sz w:val="22"/>
          <w:vertAlign w:val="subscript"/>
        </w:rPr>
        <w:t>2</w:t>
      </w:r>
      <w:r>
        <w:rPr>
          <w:b w:val="false"/>
          <w:i w:val="false"/>
          <w:sz w:val="22"/>
        </w:rPr>
        <w:t xml:space="preserve"> emissions but as Germany closes some nuclear plants, its emissions will rise.  The IPE proposes a market for tradable permits and the Netherlands (also gas prone) APX has done so.  </w:t>
      </w:r>
    </w:p>
    <w:p>
      <w:pPr>
        <w:pStyle w:val="BodyText"/>
        <w:rPr>
          <w:b w:val="false"/>
          <w:i w:val="false"/>
          <w:i w:val="false"/>
          <w:sz w:val="22"/>
        </w:rPr>
      </w:pPr>
      <w:r>
        <w:rPr>
          <w:b w:val="false"/>
          <w:i w:val="false"/>
          <w:sz w:val="22"/>
        </w:rPr>
      </w:r>
    </w:p>
    <w:p>
      <w:pPr>
        <w:pStyle w:val="BodyText"/>
        <w:rPr/>
      </w:pPr>
      <w:r>
        <w:rPr>
          <w:sz w:val="22"/>
        </w:rPr>
        <w:t>Paper 5 - Paul Appleby, Director Strategy, BP Solarex</w:t>
      </w:r>
      <w:r>
        <w:rPr>
          <w:b w:val="false"/>
          <w:i w:val="false"/>
          <w:sz w:val="22"/>
        </w:rPr>
        <w:t>:  Photovoltaic module prices have been  falling from $60 per watt peak (or 1000 watts per sq. meter) in 1976 to $5 per watt peak in 1998.  Total photovoltaic production was 5 MWP in 1980 versus 135 MWP by 1998.</w:t>
        <w:br/>
      </w:r>
      <w:r>
        <w:br w:type="page"/>
      </w:r>
    </w:p>
    <w:p>
      <w:pPr>
        <w:pStyle w:val="BodyText"/>
        <w:rPr>
          <w:b w:val="false"/>
          <w:i w:val="false"/>
          <w:i w:val="false"/>
          <w:sz w:val="22"/>
        </w:rPr>
      </w:pPr>
      <w:r>
        <w:rPr>
          <w:b w:val="false"/>
          <w:i w:val="false"/>
          <w:sz w:val="22"/>
        </w:rPr>
        <w:t>Page 2</w:t>
      </w:r>
    </w:p>
    <w:p>
      <w:pPr>
        <w:pStyle w:val="BodyText"/>
        <w:rPr>
          <w:b w:val="false"/>
          <w:i w:val="false"/>
          <w:i w:val="false"/>
          <w:sz w:val="22"/>
        </w:rPr>
      </w:pPr>
      <w:r>
        <w:rPr>
          <w:b w:val="false"/>
          <w:i w:val="false"/>
          <w:sz w:val="22"/>
        </w:rPr>
      </w:r>
    </w:p>
    <w:p>
      <w:pPr>
        <w:pStyle w:val="BodyText"/>
        <w:rPr>
          <w:b w:val="false"/>
          <w:i w:val="false"/>
          <w:i w:val="false"/>
          <w:sz w:val="22"/>
        </w:rPr>
      </w:pPr>
      <w:r>
        <w:rPr>
          <w:b w:val="false"/>
          <w:i w:val="false"/>
          <w:sz w:val="22"/>
        </w:rPr>
      </w:r>
    </w:p>
    <w:p>
      <w:pPr>
        <w:pStyle w:val="BodyText"/>
        <w:rPr/>
      </w:pPr>
      <w:r>
        <w:rPr>
          <w:sz w:val="22"/>
        </w:rPr>
        <w:t xml:space="preserve">Paper 6 -  “Fuel Cells Disrupting Competitive Markets?” - David Hart, Imperial College:  </w:t>
      </w:r>
      <w:r>
        <w:rPr>
          <w:b w:val="false"/>
          <w:i w:val="false"/>
          <w:sz w:val="22"/>
        </w:rPr>
        <w:t>The paper shows changes in fuel cell cost and power density from $10,000 per KW back in 1991 to $4,000 by 1997 and forecast to $50 per KW by 2004.  This forecast would allow small appliances to hold their own fuel power cell.</w:t>
      </w:r>
    </w:p>
    <w:p>
      <w:pPr>
        <w:pStyle w:val="BodyText"/>
        <w:rPr>
          <w:b w:val="false"/>
          <w:i w:val="false"/>
          <w:i w:val="false"/>
          <w:sz w:val="22"/>
        </w:rPr>
      </w:pPr>
      <w:r>
        <w:rPr>
          <w:b w:val="false"/>
          <w:i w:val="false"/>
          <w:sz w:val="22"/>
        </w:rPr>
      </w:r>
    </w:p>
    <w:p>
      <w:pPr>
        <w:pStyle w:val="BodyText"/>
        <w:rPr/>
      </w:pPr>
      <w:r>
        <w:rPr>
          <w:sz w:val="22"/>
        </w:rPr>
        <w:t xml:space="preserve">Paper 7 - “Prospects for UK Offshore:  Costs, Exploration and Price” - Dr. Alex Kemp, Aberdeen University,: </w:t>
      </w:r>
      <w:r>
        <w:rPr>
          <w:b w:val="false"/>
          <w:i w:val="false"/>
          <w:sz w:val="22"/>
        </w:rPr>
        <w:t xml:space="preserve"> The paper forecasts various cases of potential gas fields at different gas and oil prices at various hurdle rates.  The paper reports offshore oil declines after year 2000 under a $14 bbl regime but lasts beyond 2005 in $18 bbl cases.  Under a high cost, even with $18 oil production declines after 2000.  </w:t>
      </w:r>
    </w:p>
    <w:p>
      <w:pPr>
        <w:pStyle w:val="BodyText"/>
        <w:rPr>
          <w:b w:val="false"/>
          <w:i w:val="false"/>
          <w:i w:val="false"/>
          <w:sz w:val="22"/>
        </w:rPr>
      </w:pPr>
      <w:r>
        <w:rPr>
          <w:b w:val="false"/>
          <w:i w:val="false"/>
          <w:sz w:val="22"/>
        </w:rPr>
      </w:r>
    </w:p>
    <w:p>
      <w:pPr>
        <w:pStyle w:val="BodyText"/>
        <w:rPr/>
      </w:pPr>
      <w:r>
        <w:rPr>
          <w:sz w:val="22"/>
        </w:rPr>
        <w:t xml:space="preserve">Paper 8 - “Understanding  Oil Supply &amp; Trends” - Dr. Michael Lynch, MIT: </w:t>
      </w:r>
      <w:r>
        <w:rPr>
          <w:b w:val="false"/>
          <w:i w:val="false"/>
          <w:sz w:val="22"/>
        </w:rPr>
        <w:t>Why have oil supply forecasts been so wrong?  Usually because they are in concert with a too aggressive demand curve (i.e. a 3% solution for growth) or excessive price forecasts.  Rather it is more prudent to track how proved reserves are replenished (or not) based on finding and development cost changes and technology’s change of pace.</w:t>
      </w:r>
    </w:p>
    <w:p>
      <w:pPr>
        <w:pStyle w:val="BodyText"/>
        <w:rPr>
          <w:b w:val="false"/>
          <w:i w:val="false"/>
          <w:i w:val="false"/>
          <w:sz w:val="22"/>
        </w:rPr>
      </w:pPr>
      <w:r>
        <w:rPr>
          <w:b w:val="false"/>
          <w:i w:val="false"/>
          <w:sz w:val="22"/>
        </w:rPr>
      </w:r>
    </w:p>
    <w:p>
      <w:pPr>
        <w:pStyle w:val="BodyText"/>
        <w:rPr/>
      </w:pPr>
      <w:r>
        <w:rPr>
          <w:sz w:val="22"/>
        </w:rPr>
        <w:t>Paper 9 - “How Competition and M&amp;A Improve Energy Markets” - Margaret Carson, Enron</w:t>
      </w:r>
      <w:r>
        <w:rPr>
          <w:b w:val="false"/>
          <w:i w:val="false"/>
          <w:sz w:val="22"/>
        </w:rPr>
        <w:t xml:space="preserve">:  The paper looks at early divestitures by U.S. pipelines and gathering activities as pipelines moved to ply their skills in the transport-only business.  Good M&amp;A (not defensive or obstructive) and bad M&amp;A (aiming to perpetuate market dominance and lock out new entrants) are discussed.  The merger of gas firms and power firms allows for shared skill sets and avoids duplication of services and provides new benchmarking opportunities.  </w:t>
      </w:r>
    </w:p>
    <w:p>
      <w:pPr>
        <w:pStyle w:val="Normal"/>
        <w:rPr>
          <w:rFonts w:ascii="Times New Roman" w:hAnsi="Times New Roman" w:cs="Times New Roman"/>
          <w:b/>
          <w:i/>
          <w:i/>
          <w:sz w:val="22"/>
        </w:rPr>
      </w:pPr>
      <w:r>
        <w:rPr>
          <w:rFonts w:cs="Times New Roman" w:ascii="Times New Roman" w:hAnsi="Times New Roman"/>
          <w:b/>
          <w:i/>
          <w:sz w:val="22"/>
        </w:rPr>
      </w:r>
    </w:p>
    <w:p>
      <w:pPr>
        <w:pStyle w:val="Normal"/>
        <w:rPr/>
      </w:pPr>
      <w:r>
        <w:rPr>
          <w:rFonts w:cs="Times New Roman" w:ascii="Times New Roman" w:hAnsi="Times New Roman"/>
          <w:b/>
          <w:i/>
          <w:sz w:val="22"/>
        </w:rPr>
        <w:t>Paper 10 -  “Gas Price Determination in Liberalising Markets: US  &amp; UK Experience” -  Andrew Barton, BP Amoco Chief Economist</w:t>
      </w:r>
      <w:r>
        <w:rPr>
          <w:rFonts w:cs="Times New Roman" w:ascii="Times New Roman" w:hAnsi="Times New Roman"/>
          <w:sz w:val="22"/>
        </w:rPr>
        <w:t xml:space="preserve">:  Long-run price ranges for gas are set by relative price, elastic supply and demand curves.  </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gas demand curve is a function of:</w:t>
      </w:r>
    </w:p>
    <w:p>
      <w:pPr>
        <w:pStyle w:val="Normal"/>
        <w:numPr>
          <w:ilvl w:val="0"/>
          <w:numId w:val="4"/>
        </w:numPr>
        <w:rPr>
          <w:rFonts w:ascii="Times New Roman" w:hAnsi="Times New Roman" w:cs="Times New Roman"/>
          <w:sz w:val="22"/>
        </w:rPr>
      </w:pPr>
      <w:r>
        <w:rPr>
          <w:rFonts w:cs="Times New Roman" w:ascii="Times New Roman" w:hAnsi="Times New Roman"/>
          <w:sz w:val="22"/>
        </w:rPr>
        <w:t>Current and potential customers (market completion)</w:t>
      </w:r>
    </w:p>
    <w:p>
      <w:pPr>
        <w:pStyle w:val="Normal"/>
        <w:numPr>
          <w:ilvl w:val="0"/>
          <w:numId w:val="4"/>
        </w:numPr>
        <w:rPr>
          <w:rFonts w:ascii="Times New Roman" w:hAnsi="Times New Roman" w:cs="Times New Roman"/>
          <w:sz w:val="22"/>
        </w:rPr>
      </w:pPr>
      <w:r>
        <w:rPr>
          <w:rFonts w:cs="Times New Roman" w:ascii="Times New Roman" w:hAnsi="Times New Roman"/>
          <w:sz w:val="22"/>
        </w:rPr>
        <w:t>Gas burning hardware in place versus other fuels</w:t>
      </w:r>
    </w:p>
    <w:p>
      <w:pPr>
        <w:pStyle w:val="Normal"/>
        <w:numPr>
          <w:ilvl w:val="0"/>
          <w:numId w:val="4"/>
        </w:numPr>
        <w:rPr>
          <w:rFonts w:ascii="Times New Roman" w:hAnsi="Times New Roman" w:cs="Times New Roman"/>
          <w:sz w:val="22"/>
        </w:rPr>
      </w:pPr>
      <w:r>
        <w:rPr>
          <w:rFonts w:cs="Times New Roman" w:ascii="Times New Roman" w:hAnsi="Times New Roman"/>
          <w:sz w:val="22"/>
        </w:rPr>
        <w:t xml:space="preserve">Competing fuel price and substitution </w:t>
      </w:r>
    </w:p>
    <w:p>
      <w:pPr>
        <w:pStyle w:val="Normal"/>
        <w:numPr>
          <w:ilvl w:val="0"/>
          <w:numId w:val="4"/>
        </w:numPr>
        <w:rPr>
          <w:rFonts w:ascii="Times New Roman" w:hAnsi="Times New Roman" w:cs="Times New Roman"/>
          <w:sz w:val="22"/>
        </w:rPr>
      </w:pPr>
      <w:r>
        <w:rPr>
          <w:rFonts w:cs="Times New Roman" w:ascii="Times New Roman" w:hAnsi="Times New Roman"/>
          <w:sz w:val="22"/>
        </w:rPr>
        <w:t>Customer preference</w:t>
      </w:r>
    </w:p>
    <w:p>
      <w:pPr>
        <w:pStyle w:val="Normal"/>
        <w:numPr>
          <w:ilvl w:val="0"/>
          <w:numId w:val="4"/>
        </w:numPr>
        <w:rPr>
          <w:rFonts w:ascii="Times New Roman" w:hAnsi="Times New Roman" w:cs="Times New Roman"/>
          <w:sz w:val="22"/>
        </w:rPr>
      </w:pPr>
      <w:r>
        <w:rPr>
          <w:rFonts w:cs="Times New Roman" w:ascii="Times New Roman" w:hAnsi="Times New Roman"/>
          <w:sz w:val="22"/>
        </w:rPr>
        <w:t>Weather</w:t>
      </w:r>
    </w:p>
    <w:p>
      <w:pPr>
        <w:pStyle w:val="Normal"/>
        <w:numPr>
          <w:ilvl w:val="0"/>
          <w:numId w:val="4"/>
        </w:numPr>
        <w:rPr>
          <w:rFonts w:ascii="Times New Roman" w:hAnsi="Times New Roman" w:cs="Times New Roman"/>
          <w:sz w:val="22"/>
        </w:rPr>
      </w:pPr>
      <w:r>
        <w:rPr>
          <w:rFonts w:cs="Times New Roman" w:ascii="Times New Roman" w:hAnsi="Times New Roman"/>
          <w:sz w:val="22"/>
        </w:rPr>
        <w:t>Government regulation</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supply curve is set by:</w:t>
      </w:r>
    </w:p>
    <w:p>
      <w:pPr>
        <w:pStyle w:val="Normal"/>
        <w:numPr>
          <w:ilvl w:val="0"/>
          <w:numId w:val="5"/>
        </w:numPr>
        <w:rPr>
          <w:rFonts w:ascii="Times New Roman" w:hAnsi="Times New Roman" w:cs="Times New Roman"/>
          <w:sz w:val="22"/>
        </w:rPr>
      </w:pPr>
      <w:r>
        <w:rPr>
          <w:rFonts w:cs="Times New Roman" w:ascii="Times New Roman" w:hAnsi="Times New Roman"/>
          <w:sz w:val="22"/>
        </w:rPr>
        <w:t>Production costs</w:t>
      </w:r>
    </w:p>
    <w:p>
      <w:pPr>
        <w:pStyle w:val="Normal"/>
        <w:numPr>
          <w:ilvl w:val="0"/>
          <w:numId w:val="5"/>
        </w:numPr>
        <w:rPr>
          <w:rFonts w:ascii="Times New Roman" w:hAnsi="Times New Roman" w:cs="Times New Roman"/>
          <w:sz w:val="22"/>
        </w:rPr>
      </w:pPr>
      <w:r>
        <w:rPr>
          <w:rFonts w:cs="Times New Roman" w:ascii="Times New Roman" w:hAnsi="Times New Roman"/>
          <w:sz w:val="22"/>
        </w:rPr>
        <w:t>Distance to markets</w:t>
      </w:r>
    </w:p>
    <w:p>
      <w:pPr>
        <w:pStyle w:val="Normal"/>
        <w:numPr>
          <w:ilvl w:val="0"/>
          <w:numId w:val="5"/>
        </w:numPr>
        <w:rPr>
          <w:rFonts w:ascii="Times New Roman" w:hAnsi="Times New Roman" w:cs="Times New Roman"/>
          <w:sz w:val="22"/>
        </w:rPr>
      </w:pPr>
      <w:r>
        <w:rPr>
          <w:rFonts w:cs="Times New Roman" w:ascii="Times New Roman" w:hAnsi="Times New Roman"/>
          <w:sz w:val="22"/>
        </w:rPr>
        <w:t>Pipeline costs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Upper bound for gas prices:</w:t>
      </w:r>
    </w:p>
    <w:p>
      <w:pPr>
        <w:pStyle w:val="Normal"/>
        <w:numPr>
          <w:ilvl w:val="0"/>
          <w:numId w:val="3"/>
        </w:numPr>
        <w:rPr>
          <w:rFonts w:ascii="Times New Roman" w:hAnsi="Times New Roman" w:cs="Times New Roman"/>
          <w:sz w:val="22"/>
        </w:rPr>
      </w:pPr>
      <w:r>
        <w:rPr>
          <w:rFonts w:cs="Times New Roman" w:ascii="Times New Roman" w:hAnsi="Times New Roman"/>
          <w:sz w:val="22"/>
        </w:rPr>
        <w:t>Interfuel competition</w:t>
      </w:r>
    </w:p>
    <w:p>
      <w:pPr>
        <w:pStyle w:val="Normal"/>
        <w:numPr>
          <w:ilvl w:val="0"/>
          <w:numId w:val="3"/>
        </w:numPr>
        <w:rPr>
          <w:rFonts w:ascii="Times New Roman" w:hAnsi="Times New Roman" w:cs="Times New Roman"/>
          <w:sz w:val="22"/>
        </w:rPr>
      </w:pPr>
      <w:r>
        <w:rPr>
          <w:rFonts w:cs="Times New Roman" w:ascii="Times New Roman" w:hAnsi="Times New Roman"/>
          <w:sz w:val="22"/>
        </w:rPr>
        <w:t>Long-term costs to tie in a large distant field</w:t>
      </w:r>
    </w:p>
    <w:p>
      <w:pPr>
        <w:pStyle w:val="Normal"/>
        <w:numPr>
          <w:ilvl w:val="0"/>
          <w:numId w:val="3"/>
        </w:numPr>
        <w:rPr>
          <w:rFonts w:ascii="Times New Roman" w:hAnsi="Times New Roman" w:cs="Times New Roman"/>
          <w:sz w:val="22"/>
        </w:rPr>
      </w:pPr>
      <w:r>
        <w:rPr>
          <w:rFonts w:cs="Times New Roman" w:ascii="Times New Roman" w:hAnsi="Times New Roman"/>
          <w:sz w:val="22"/>
        </w:rPr>
        <w:t>Coal gasification economics</w:t>
      </w:r>
    </w:p>
    <w:p>
      <w:pPr>
        <w:pStyle w:val="Normal"/>
        <w:numPr>
          <w:ilvl w:val="0"/>
          <w:numId w:val="3"/>
        </w:numPr>
        <w:rPr>
          <w:rFonts w:ascii="Times New Roman" w:hAnsi="Times New Roman" w:cs="Times New Roman"/>
          <w:sz w:val="22"/>
        </w:rPr>
      </w:pPr>
      <w:r>
        <w:rPr>
          <w:rFonts w:cs="Times New Roman" w:ascii="Times New Roman" w:hAnsi="Times New Roman"/>
          <w:sz w:val="22"/>
        </w:rPr>
        <w:t>Price of gas in highest use application</w:t>
      </w:r>
    </w:p>
    <w:p>
      <w:pPr>
        <w:pStyle w:val="Normal"/>
        <w:ind w:hanging="360" w:start="360" w:end="0"/>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4770" w:leader="none"/>
        </w:tabs>
        <w:ind w:hanging="360" w:start="360" w:end="0"/>
        <w:rPr>
          <w:rFonts w:ascii="Times New Roman" w:hAnsi="Times New Roman" w:cs="Times New Roman"/>
          <w:sz w:val="22"/>
        </w:rPr>
      </w:pPr>
      <w:r>
        <w:rPr>
          <w:rFonts w:cs="Times New Roman" w:ascii="Times New Roman" w:hAnsi="Times New Roman"/>
          <w:sz w:val="22"/>
        </w:rPr>
        <w:t>Lower bound for gas prices:</w:t>
      </w:r>
    </w:p>
    <w:p>
      <w:pPr>
        <w:pStyle w:val="Normal"/>
        <w:numPr>
          <w:ilvl w:val="0"/>
          <w:numId w:val="2"/>
        </w:numPr>
        <w:rPr>
          <w:rFonts w:ascii="Times New Roman" w:hAnsi="Times New Roman" w:cs="Times New Roman"/>
          <w:sz w:val="22"/>
        </w:rPr>
      </w:pPr>
      <w:r>
        <w:rPr>
          <w:rFonts w:cs="Times New Roman" w:ascii="Times New Roman" w:hAnsi="Times New Roman"/>
          <w:sz w:val="22"/>
        </w:rPr>
        <w:t>Variable costs of existing supplies</w:t>
      </w:r>
    </w:p>
    <w:p>
      <w:pPr>
        <w:pStyle w:val="Normal"/>
        <w:numPr>
          <w:ilvl w:val="0"/>
          <w:numId w:val="2"/>
        </w:numPr>
        <w:rPr>
          <w:rFonts w:ascii="Times New Roman" w:hAnsi="Times New Roman" w:cs="Times New Roman"/>
          <w:sz w:val="22"/>
        </w:rPr>
      </w:pPr>
      <w:r>
        <w:rPr>
          <w:rFonts w:cs="Times New Roman" w:ascii="Times New Roman" w:hAnsi="Times New Roman"/>
          <w:sz w:val="22"/>
        </w:rPr>
        <w:t>Gas liquefaction economics</w:t>
      </w:r>
    </w:p>
    <w:p>
      <w:pPr>
        <w:pStyle w:val="Normal"/>
        <w:numPr>
          <w:ilvl w:val="0"/>
          <w:numId w:val="2"/>
        </w:numPr>
        <w:rPr>
          <w:rFonts w:ascii="Times New Roman" w:hAnsi="Times New Roman" w:cs="Times New Roman"/>
          <w:sz w:val="22"/>
        </w:rPr>
      </w:pPr>
      <w:r>
        <w:rPr>
          <w:rFonts w:cs="Times New Roman" w:ascii="Times New Roman" w:hAnsi="Times New Roman"/>
          <w:sz w:val="22"/>
        </w:rPr>
        <w:t>Speed of installation of gas burning hardware</w:t>
      </w:r>
      <w:r>
        <w:br w:type="page"/>
      </w:r>
    </w:p>
    <w:p>
      <w:pPr>
        <w:pStyle w:val="Normal"/>
        <w:tabs>
          <w:tab w:val="left" w:pos="540" w:leader="none"/>
          <w:tab w:val="left" w:pos="11160" w:leader="none"/>
        </w:tabs>
        <w:ind w:hanging="360" w:start="360" w:end="0"/>
        <w:rPr>
          <w:rFonts w:ascii="Times New Roman" w:hAnsi="Times New Roman" w:cs="Times New Roman"/>
          <w:sz w:val="22"/>
        </w:rPr>
      </w:pPr>
      <w:r>
        <w:rPr>
          <w:rFonts w:cs="Times New Roman" w:ascii="Times New Roman" w:hAnsi="Times New Roman"/>
          <w:sz w:val="22"/>
        </w:rPr>
        <w:t>Page 3</w:t>
      </w:r>
    </w:p>
    <w:p>
      <w:pPr>
        <w:pStyle w:val="Normal"/>
        <w:tabs>
          <w:tab w:val="left" w:pos="540" w:leader="none"/>
          <w:tab w:val="left" w:pos="11160" w:leader="none"/>
        </w:tabs>
        <w:ind w:hanging="360" w:start="360" w:end="0"/>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11160" w:leader="none"/>
        </w:tabs>
        <w:ind w:hanging="360" w:start="360" w:end="0"/>
        <w:rPr>
          <w:rFonts w:ascii="Times New Roman" w:hAnsi="Times New Roman" w:cs="Times New Roman"/>
          <w:sz w:val="22"/>
        </w:rPr>
      </w:pPr>
      <w:r>
        <w:rPr>
          <w:rFonts w:cs="Times New Roman" w:ascii="Times New Roman" w:hAnsi="Times New Roman"/>
          <w:sz w:val="22"/>
        </w:rPr>
      </w:r>
    </w:p>
    <w:p>
      <w:pPr>
        <w:pStyle w:val="Normal"/>
        <w:tabs>
          <w:tab w:val="left" w:pos="540" w:leader="none"/>
          <w:tab w:val="left" w:pos="11160" w:leader="none"/>
        </w:tabs>
        <w:ind w:hanging="360" w:start="360" w:end="0"/>
        <w:rPr>
          <w:rFonts w:ascii="Times New Roman" w:hAnsi="Times New Roman" w:cs="Times New Roman"/>
          <w:sz w:val="22"/>
        </w:rPr>
      </w:pPr>
      <w:r>
        <w:rPr>
          <w:rFonts w:cs="Times New Roman" w:ascii="Times New Roman" w:hAnsi="Times New Roman"/>
          <w:sz w:val="22"/>
        </w:rPr>
        <w:t>Several tables show:</w:t>
      </w:r>
    </w:p>
    <w:p>
      <w:pPr>
        <w:pStyle w:val="Normal"/>
        <w:numPr>
          <w:ilvl w:val="0"/>
          <w:numId w:val="6"/>
        </w:numPr>
        <w:rPr>
          <w:rFonts w:ascii="Times New Roman" w:hAnsi="Times New Roman" w:cs="Times New Roman"/>
          <w:sz w:val="22"/>
        </w:rPr>
      </w:pPr>
      <w:r>
        <w:rPr>
          <w:rFonts w:cs="Times New Roman" w:ascii="Times New Roman" w:hAnsi="Times New Roman"/>
          <w:sz w:val="22"/>
        </w:rPr>
        <w:t>1994-99 U.S. gas price volatility versus fuel oil</w:t>
      </w:r>
    </w:p>
    <w:p>
      <w:pPr>
        <w:pStyle w:val="Normal"/>
        <w:numPr>
          <w:ilvl w:val="0"/>
          <w:numId w:val="6"/>
        </w:numPr>
        <w:rPr>
          <w:rFonts w:ascii="Times New Roman" w:hAnsi="Times New Roman" w:cs="Times New Roman"/>
          <w:sz w:val="22"/>
        </w:rPr>
      </w:pPr>
      <w:r>
        <w:rPr>
          <w:rFonts w:cs="Times New Roman" w:ascii="Times New Roman" w:hAnsi="Times New Roman"/>
          <w:sz w:val="22"/>
        </w:rPr>
        <w:t>U.S. heating degree days and Henry Hub prices, 1990-1999</w:t>
      </w:r>
    </w:p>
    <w:p>
      <w:pPr>
        <w:pStyle w:val="Normal"/>
        <w:numPr>
          <w:ilvl w:val="0"/>
          <w:numId w:val="6"/>
        </w:numPr>
        <w:rPr>
          <w:rFonts w:ascii="Times New Roman" w:hAnsi="Times New Roman" w:cs="Times New Roman"/>
          <w:sz w:val="22"/>
        </w:rPr>
      </w:pPr>
      <w:r>
        <w:rPr>
          <w:rFonts w:cs="Times New Roman" w:ascii="Times New Roman" w:hAnsi="Times New Roman"/>
          <w:sz w:val="22"/>
        </w:rPr>
        <w:t>Henry Hub prices versus storage levels, 1990-1999</w:t>
      </w:r>
    </w:p>
    <w:p>
      <w:pPr>
        <w:pStyle w:val="Normal"/>
        <w:numPr>
          <w:ilvl w:val="0"/>
          <w:numId w:val="6"/>
        </w:numPr>
        <w:rPr>
          <w:rFonts w:ascii="Times New Roman" w:hAnsi="Times New Roman" w:cs="Times New Roman"/>
          <w:sz w:val="22"/>
        </w:rPr>
      </w:pPr>
      <w:r>
        <w:rPr>
          <w:rFonts w:cs="Times New Roman" w:ascii="Times New Roman" w:hAnsi="Times New Roman"/>
          <w:sz w:val="22"/>
        </w:rPr>
        <w:t>U.S. gas prices and competing fuel prices, 1993-1999</w:t>
      </w:r>
    </w:p>
    <w:p>
      <w:pPr>
        <w:pStyle w:val="Normal"/>
        <w:numPr>
          <w:ilvl w:val="0"/>
          <w:numId w:val="6"/>
        </w:numPr>
        <w:rPr>
          <w:rFonts w:ascii="Times New Roman" w:hAnsi="Times New Roman" w:cs="Times New Roman"/>
          <w:sz w:val="22"/>
        </w:rPr>
      </w:pPr>
      <w:r>
        <w:rPr>
          <w:rFonts w:cs="Times New Roman" w:ascii="Times New Roman" w:hAnsi="Times New Roman"/>
          <w:sz w:val="22"/>
        </w:rPr>
        <w:t>U.S. regional price volatility versus Northern Border pipeline expansion, 1994-1999</w:t>
      </w:r>
    </w:p>
    <w:p>
      <w:pPr>
        <w:pStyle w:val="Normal"/>
        <w:numPr>
          <w:ilvl w:val="0"/>
          <w:numId w:val="6"/>
        </w:numPr>
        <w:rPr>
          <w:rFonts w:ascii="Times New Roman" w:hAnsi="Times New Roman" w:cs="Times New Roman"/>
          <w:sz w:val="22"/>
        </w:rPr>
      </w:pPr>
      <w:r>
        <w:rPr>
          <w:rFonts w:cs="Times New Roman" w:ascii="Times New Roman" w:hAnsi="Times New Roman"/>
          <w:sz w:val="22"/>
        </w:rPr>
        <w:t>U.S. gas prices versus rig count positive correlation, 1990-1999</w:t>
      </w:r>
    </w:p>
    <w:p>
      <w:pPr>
        <w:pStyle w:val="Normal"/>
        <w:numPr>
          <w:ilvl w:val="0"/>
          <w:numId w:val="6"/>
        </w:numPr>
        <w:rPr>
          <w:rFonts w:ascii="Times New Roman" w:hAnsi="Times New Roman" w:cs="Times New Roman"/>
          <w:sz w:val="22"/>
        </w:rPr>
      </w:pPr>
      <w:r>
        <w:rPr>
          <w:rFonts w:cs="Times New Roman" w:ascii="Times New Roman" w:hAnsi="Times New Roman"/>
          <w:sz w:val="22"/>
        </w:rPr>
        <w:t>U.S. investment versus wellhead price, 1977-1998</w:t>
      </w:r>
    </w:p>
    <w:p>
      <w:pPr>
        <w:pStyle w:val="Normal"/>
        <w:numPr>
          <w:ilvl w:val="0"/>
          <w:numId w:val="6"/>
        </w:numPr>
        <w:rPr>
          <w:rFonts w:ascii="Times New Roman" w:hAnsi="Times New Roman" w:cs="Times New Roman"/>
          <w:sz w:val="22"/>
        </w:rPr>
      </w:pPr>
      <w:r>
        <w:rPr>
          <w:rFonts w:cs="Times New Roman" w:ascii="Times New Roman" w:hAnsi="Times New Roman"/>
          <w:sz w:val="22"/>
        </w:rPr>
        <w:t>Cost of  finding and developing gas 1992-1999</w:t>
      </w:r>
    </w:p>
    <w:p>
      <w:pPr>
        <w:pStyle w:val="Normal"/>
        <w:numPr>
          <w:ilvl w:val="0"/>
          <w:numId w:val="6"/>
        </w:numPr>
        <w:rPr>
          <w:rFonts w:ascii="Times New Roman" w:hAnsi="Times New Roman" w:cs="Times New Roman"/>
          <w:sz w:val="22"/>
        </w:rPr>
      </w:pPr>
      <w:r>
        <w:rPr>
          <w:rFonts w:cs="Times New Roman" w:ascii="Times New Roman" w:hAnsi="Times New Roman"/>
          <w:sz w:val="22"/>
        </w:rPr>
        <w:t>UK gas market phases versus daily spot price 1990-98</w:t>
      </w:r>
    </w:p>
    <w:p>
      <w:pPr>
        <w:pStyle w:val="Normal"/>
        <w:numPr>
          <w:ilvl w:val="0"/>
          <w:numId w:val="6"/>
        </w:numPr>
        <w:rPr>
          <w:rFonts w:ascii="Times New Roman" w:hAnsi="Times New Roman" w:cs="Times New Roman"/>
          <w:sz w:val="22"/>
        </w:rPr>
      </w:pPr>
      <w:r>
        <w:rPr>
          <w:rFonts w:cs="Times New Roman" w:ascii="Times New Roman" w:hAnsi="Times New Roman"/>
          <w:sz w:val="22"/>
        </w:rPr>
        <w:t>Monthly average UK price of gas and its substitutes, 1989-1999</w:t>
      </w:r>
    </w:p>
    <w:p>
      <w:pPr>
        <w:pStyle w:val="Normal"/>
        <w:numPr>
          <w:ilvl w:val="0"/>
          <w:numId w:val="6"/>
        </w:numPr>
        <w:rPr>
          <w:rFonts w:ascii="Times New Roman" w:hAnsi="Times New Roman" w:cs="Times New Roman"/>
          <w:sz w:val="22"/>
        </w:rPr>
      </w:pPr>
      <w:r>
        <w:rPr>
          <w:rFonts w:cs="Times New Roman" w:ascii="Times New Roman" w:hAnsi="Times New Roman"/>
          <w:sz w:val="22"/>
        </w:rPr>
        <w:t>Interconnector linking UK spot monthly price, Oct 1998 to Feb 1999</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Competitive price for gas in Europe may ultimately apply following the EU Gas Directive in 2000 though major barriers still exist to the completion of a single EU gas market.  Therefore, it is likely for EU development of spot markets for gas as major gas buyers force the pace and broader indexation of gas supply contracts to include spot gas and industrial power prices.</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b/>
          <w:i/>
          <w:sz w:val="22"/>
        </w:rPr>
        <w:t xml:space="preserve">Paper 11 - “European Gas, Cheap Oil and History” - Michael Prior, IPA Energy Consulting:  </w:t>
      </w:r>
      <w:r>
        <w:rPr>
          <w:rFonts w:cs="Times New Roman" w:ascii="Times New Roman" w:hAnsi="Times New Roman"/>
          <w:sz w:val="22"/>
        </w:rPr>
        <w:t xml:space="preserve"> The paper discusses the role of cheap oil in gas market growth and looks at the failed economics of Gazprom gas economics and market sales of 1997-98.</w:t>
      </w:r>
    </w:p>
    <w:p>
      <w:pPr>
        <w:pStyle w:val="Normal"/>
        <w:rPr>
          <w:rFonts w:ascii="Times New Roman" w:hAnsi="Times New Roman" w:cs="Times New Roman"/>
          <w:sz w:val="22"/>
        </w:rPr>
      </w:pPr>
      <w:r>
        <w:rPr>
          <w:rFonts w:cs="Times New Roman" w:ascii="Times New Roman" w:hAnsi="Times New Roman"/>
          <w:sz w:val="22"/>
        </w:rPr>
      </w:r>
    </w:p>
    <w:p>
      <w:pPr>
        <w:pStyle w:val="BodyText"/>
        <w:rPr/>
      </w:pPr>
      <w:r>
        <w:rPr>
          <w:sz w:val="22"/>
        </w:rPr>
        <w:t xml:space="preserve">Paper 12 -  “Redistribution of Power in the U.S. Value Chain and Corporate Strategy” - Dr. Philip Wright and Ian Rutledge, Univ. of Sheffield:  </w:t>
      </w:r>
      <w:r>
        <w:rPr>
          <w:b w:val="false"/>
          <w:i w:val="false"/>
          <w:sz w:val="22"/>
        </w:rPr>
        <w:t>The paper looks at winners and losers as competition and integration affect U.S. gas markets.  Role of divestiture of E&amp;P assets is discussed.  Enron is shown as a successful case of a global gas strategy.</w:t>
      </w:r>
    </w:p>
    <w:p>
      <w:pPr>
        <w:pStyle w:val="BodyText"/>
        <w:rPr>
          <w:b w:val="false"/>
          <w:i w:val="false"/>
          <w:i w:val="false"/>
          <w:sz w:val="22"/>
        </w:rPr>
      </w:pPr>
      <w:r>
        <w:rPr>
          <w:b w:val="false"/>
          <w:i w:val="false"/>
          <w:sz w:val="22"/>
        </w:rPr>
      </w:r>
    </w:p>
    <w:p>
      <w:pPr>
        <w:pStyle w:val="BodyText"/>
        <w:rPr/>
      </w:pPr>
      <w:r>
        <w:rPr>
          <w:sz w:val="22"/>
        </w:rPr>
        <w:t xml:space="preserve">Paper 13 -  “Markets for Tradable Renewable Electricity Permits:  Dutch Experience and UK Prospects” - Mr. Reinhard Madlener et al:  </w:t>
      </w:r>
      <w:r>
        <w:rPr>
          <w:b w:val="false"/>
          <w:i w:val="false"/>
          <w:sz w:val="22"/>
        </w:rPr>
        <w:t>In the Netherlands since 1998 a green label trading scheme has been aimed at achieving a 3% green power market share by 2000.</w:t>
      </w:r>
    </w:p>
    <w:p>
      <w:pPr>
        <w:pStyle w:val="BodyText"/>
        <w:rPr>
          <w:b w:val="false"/>
          <w:i w:val="false"/>
          <w:i w:val="false"/>
          <w:sz w:val="22"/>
        </w:rPr>
      </w:pPr>
      <w:r>
        <w:rPr>
          <w:b w:val="false"/>
          <w:i w:val="false"/>
          <w:sz w:val="22"/>
        </w:rPr>
      </w:r>
    </w:p>
    <w:p>
      <w:pPr>
        <w:pStyle w:val="BodyText"/>
        <w:rPr>
          <w:sz w:val="22"/>
        </w:rPr>
      </w:pPr>
      <w:r>
        <w:rPr>
          <w:sz w:val="22"/>
        </w:rPr>
        <w:t xml:space="preserve">Paper 14 - “Argentine Electric Reform:  Its Effect on Markets and Global Warming” - Dr. Hector Castelli,              et al:  </w:t>
      </w:r>
      <w:r>
        <w:rPr>
          <w:b w:val="false"/>
          <w:i w:val="false"/>
          <w:sz w:val="22"/>
        </w:rPr>
        <w:t>The paper discusses the fuel mix in Argentine power and the dramatic reform in the 1980s and 1990s in its utility sectors.  The market shifted from 39 counterparties in 1992 to 2015 in 1998.  Electric reform has increased the use of gas in power generation due to high efficiency gas combined-cycle plants.  Argentina’s spot price by month over the 1994-1997 period is shown to have decreased by 25% in Figure 4.</w:t>
        <w:br/>
      </w:r>
    </w:p>
    <w:p>
      <w:pPr>
        <w:pStyle w:val="BodyText"/>
        <w:rPr/>
      </w:pPr>
      <w:r>
        <w:rPr>
          <w:sz w:val="22"/>
        </w:rPr>
        <w:t>Paper 15 - “Comparison of European and Oceanic Power Pools” -</w:t>
      </w:r>
      <w:r>
        <w:rPr>
          <w:b w:val="false"/>
          <w:i w:val="false"/>
          <w:sz w:val="22"/>
        </w:rPr>
        <w:t xml:space="preserve"> </w:t>
      </w:r>
      <w:r>
        <w:rPr>
          <w:sz w:val="22"/>
        </w:rPr>
        <w:t xml:space="preserve">T. Mannila et al, Electric Power Economics Research Group:  </w:t>
      </w:r>
      <w:r>
        <w:rPr>
          <w:b w:val="false"/>
          <w:i w:val="false"/>
          <w:sz w:val="22"/>
        </w:rPr>
        <w:t>The paper defines pools versus exchanges.</w:t>
      </w:r>
    </w:p>
    <w:p>
      <w:pPr>
        <w:pStyle w:val="BodyText"/>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(A)</w:t>
        <w:tab/>
        <w:t>EL-EX Finnish exchange has 50 members.  The EL-EX product today is the Elbas market.  It plans to offer electricity options by the end of 1999.  Elbas market covers Finland and Sweden.  The contractual counterparty in the Elbas market is the Nord Pool.  For hedging, the EL-EX requires a security payment from its participants.</w:t>
        <w:br/>
      </w:r>
    </w:p>
    <w:p>
      <w:pPr>
        <w:pStyle w:val="BodyText"/>
        <w:tabs>
          <w:tab w:val="left" w:pos="540" w:leader="none"/>
        </w:tabs>
        <w:rPr>
          <w:b w:val="false"/>
          <w:i w:val="false"/>
          <w:i w:val="false"/>
          <w:sz w:val="22"/>
        </w:rPr>
      </w:pPr>
      <w:r>
        <w:rPr>
          <w:b w:val="false"/>
          <w:i w:val="false"/>
          <w:sz w:val="22"/>
        </w:rPr>
        <w:t>(B)</w:t>
        <w:tab/>
        <w:t xml:space="preserve">Nord Pool created in 1993 trades in Norway, Sweden and Finland and plans to add western Denmark by end-1999.  Currently Denmark trades via Sweden.  By end-1998, Nord Pool had 250 members.  It now has 271.  Norway (185), Sweden (51),  Finland (24), Denmark (4), UK (5) and Germany (2); its main products are physical and financial contracts.  Its key products are the Elspot (Spot market) and Elterim (futures market).  Nord Pool is the contractual counterparty in its trades thus reducing the counterparty risk of its participants.  Nord Pool is a significant market for bilateral contracts as well.  </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Page 4</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The spot market trades physical electricity on a daily basis for delivery of the next 24 hours.  The spot market price system is fixed at the market equilibrium of the demand and supply curves and acts as a reference price for settling the trades in the financial markets.  It is also a price signal in all 3 Scandinavian countries.  Prices are thus affected by both the producers’ offers and buyers’ bids.</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The futures market has a time horizon of up to 3 years.  It is used for price hedging and risk management.   The contracts do not lead to physical delivery.  Financial contracts include both forward and future power contracts.  The forward contract calculates a daily value over a trading period and value changes accumulate daily to settle daily.  There are seasonal and annual contracts.  The futures contract is a contract with daily settlements of value changes under both the trading and the delivery period.  They consist of weeks -- 4-week blocks and seasons.</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Financial contracts are used for hedging risks.  Nord Pool has a separate clearinghouse (NEC) offering services to bilateral contracts that are made outside the pool as well.  A security payment is required for all Nord Pool trading, both spot, futures and in clearing bilateral contracts as well.</w:t>
        <w:br/>
      </w:r>
    </w:p>
    <w:p>
      <w:pPr>
        <w:pStyle w:val="BodyText"/>
        <w:tabs>
          <w:tab w:val="left" w:pos="540" w:leader="none"/>
        </w:tabs>
        <w:rPr>
          <w:b w:val="false"/>
          <w:i w:val="false"/>
          <w:i w:val="false"/>
          <w:sz w:val="22"/>
        </w:rPr>
      </w:pPr>
      <w:r>
        <w:rPr>
          <w:b w:val="false"/>
          <w:i w:val="false"/>
          <w:sz w:val="22"/>
        </w:rPr>
        <w:t>(C)</w:t>
        <w:tab/>
        <w:t xml:space="preserve">UK Pool was formed in 1990.  It offers wholesale market trading mechanisms for producers and suppliers.  It also sets the generation merit order.  Prices are settled for each half-hour of a day via a bid process.  The dispatch order is set by the grid operator based on generators’ offers filed and the demand forecast.  The Pool Purchase Price is formed by adding a capacity payment to the system marginal price.  The system marginal price is the price of the most expensive generation unit in operation to meet demand.  It is more a producer’s pool as retailing suppliers may not make bids or affect prices from the demand side.  </w:t>
        <w:br/>
      </w:r>
    </w:p>
    <w:p>
      <w:pPr>
        <w:pStyle w:val="BodyText"/>
        <w:tabs>
          <w:tab w:val="left" w:pos="540" w:leader="none"/>
        </w:tabs>
        <w:rPr>
          <w:b w:val="false"/>
          <w:i w:val="false"/>
          <w:i w:val="false"/>
          <w:sz w:val="22"/>
        </w:rPr>
      </w:pPr>
      <w:r>
        <w:rPr>
          <w:b w:val="false"/>
          <w:i w:val="false"/>
          <w:sz w:val="22"/>
        </w:rPr>
        <w:t>The pool produces the forecast prices for the day ahead market.  To manage risk of price volatility, the Pool provides short and long-term contracts make capacity and prices more predictable.  These so-called Contracts for Differences (CFDs) to include a strike price.  If the Pool price is under the strike price at any half-hour, the supplier pays the producer the difference.  If it is higher, the producer will have to pay the difference to the supplier.</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(D)</w:t>
        <w:tab/>
        <w:t>Wholesale market in Spain began in 1998 and is a non-mandatory pool system.  The trading is operated by the market operator.  Bilateral contract holders also submit their contracted amounts to the market operator and the system operator.  At present, the daily market and intra-daily market are the main products.  Bilateral contracts, constraint management, real-time deviations and ancillary services are other products.  A futures market may be developed later.</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(E)</w:t>
        <w:tab/>
        <w:t>Australian Pool began in 1998 and includes Australia Capital Territory, New South Wales, Queensland, Victoria, and South Australia.  NEMMCO manages central dispatch and operates the spot market.  Generators submit dispatch offers to the pool and customers (retailers and users) make their bids.  Based on this, NEMMCO dispatches to meet the demand at lowest possible cost.  Queensland has a separate pool that is also operated by NEMMCO and will tie in early 2000.  The price is calculated each half-hour.  Offers and bids are on each 5 minutes of the half-hour.  The spot price is the average of these 5-minute periods.  All of the power in the specific half-hour is traded at the spot price.  Parties may trade financial contracts like hedge contracts outside the pool.  It is a clearinghouse for hedges, but financial contracts are not available at the moment.  The New Zealand Pool is also discussed.</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b w:val="false"/>
          <w:i w:val="false"/>
          <w:i w:val="false"/>
          <w:sz w:val="22"/>
        </w:rPr>
      </w:pPr>
      <w:r>
        <w:rPr>
          <w:b w:val="false"/>
          <w:i w:val="false"/>
          <w:sz w:val="22"/>
        </w:rPr>
        <w:t>(F)</w:t>
        <w:tab/>
        <w:t>Most pools represent power exchanges.  UK’s pool, however, does allow retailing suppliers to participate but not make bids and thereby affect prices.  Thus, it is more a producer’s pool.  Normally, pools are voluntary.  UK’s pool and NEMMCO are mandatory for producers (with some minor exceptions).  Obligatory participation could be seen as non-competitive.  Membership fees are usually high and not feasible for small users.  Bilateral contracts are allowed in the six pools discussed above.</w:t>
        <w:br/>
      </w:r>
      <w:r>
        <w:br w:type="page"/>
      </w:r>
    </w:p>
    <w:p>
      <w:pPr>
        <w:pStyle w:val="BodyText"/>
        <w:tabs>
          <w:tab w:val="left" w:pos="540" w:leader="none"/>
        </w:tabs>
        <w:rPr>
          <w:sz w:val="22"/>
        </w:rPr>
      </w:pPr>
      <w:r>
        <w:rPr>
          <w:sz w:val="22"/>
        </w:rPr>
        <w:t xml:space="preserve">Page 5 </w:t>
      </w:r>
    </w:p>
    <w:p>
      <w:pPr>
        <w:pStyle w:val="BodyText"/>
        <w:tabs>
          <w:tab w:val="left" w:pos="540" w:leader="none"/>
        </w:tabs>
        <w:rPr>
          <w:sz w:val="22"/>
        </w:rPr>
      </w:pPr>
      <w:r>
        <w:rPr>
          <w:sz w:val="22"/>
        </w:rPr>
      </w:r>
    </w:p>
    <w:p>
      <w:pPr>
        <w:pStyle w:val="BodyText"/>
        <w:tabs>
          <w:tab w:val="left" w:pos="540" w:leader="none"/>
        </w:tabs>
        <w:rPr>
          <w:sz w:val="22"/>
        </w:rPr>
      </w:pPr>
      <w:r>
        <w:rPr>
          <w:sz w:val="22"/>
        </w:rPr>
      </w:r>
    </w:p>
    <w:p>
      <w:pPr>
        <w:pStyle w:val="BodyText"/>
        <w:tabs>
          <w:tab w:val="left" w:pos="540" w:leader="none"/>
        </w:tabs>
        <w:rPr/>
      </w:pPr>
      <w:r>
        <w:rPr>
          <w:sz w:val="22"/>
        </w:rPr>
        <w:t xml:space="preserve">Paper 16 -  “The Decline of UK Coal”- M.J. Parker, University of Sussex:  </w:t>
      </w:r>
      <w:r>
        <w:rPr>
          <w:b w:val="false"/>
          <w:i w:val="false"/>
          <w:sz w:val="22"/>
        </w:rPr>
        <w:t>The paper puts out the Thatcher agenda to privatize UK coal and notes its fatal decline in manpower from 234,000 to 13,000.  New Labor has scant chance to “save” an industry that already fell from 107 MM tons to 30 MM annually.</w:t>
      </w:r>
    </w:p>
    <w:p>
      <w:pPr>
        <w:pStyle w:val="BodyText"/>
        <w:tabs>
          <w:tab w:val="left" w:pos="540" w:leader="none"/>
        </w:tabs>
        <w:rPr>
          <w:b w:val="false"/>
          <w:i w:val="false"/>
          <w:i w:val="false"/>
          <w:sz w:val="22"/>
        </w:rPr>
      </w:pPr>
      <w:r>
        <w:rPr>
          <w:b w:val="false"/>
          <w:i w:val="false"/>
          <w:sz w:val="22"/>
        </w:rPr>
      </w:r>
    </w:p>
    <w:p>
      <w:pPr>
        <w:pStyle w:val="BodyText"/>
        <w:tabs>
          <w:tab w:val="left" w:pos="540" w:leader="none"/>
        </w:tabs>
        <w:rPr/>
      </w:pPr>
      <w:r>
        <w:rPr>
          <w:sz w:val="22"/>
        </w:rPr>
        <w:t xml:space="preserve">Paper 17 - “Can Nuclear Power Succeed in Liberalized Electric Markets?” - Stephen Kidd, Uranium Institute:  </w:t>
      </w:r>
      <w:r>
        <w:rPr>
          <w:b w:val="false"/>
          <w:i w:val="false"/>
          <w:sz w:val="22"/>
        </w:rPr>
        <w:t>Due to slowness of world plans to add new reactors, the 17% market share now held by nuclear is likely to fall.  The short-term strategies of nuclear operators must be to improve economics and maintain high reliability factors to stay in the hunt.</w:t>
        <w:br/>
      </w:r>
    </w:p>
    <w:p>
      <w:pPr>
        <w:pStyle w:val="BodyText"/>
        <w:tabs>
          <w:tab w:val="left" w:pos="540" w:leader="none"/>
        </w:tabs>
        <w:rPr/>
      </w:pPr>
      <w:r>
        <w:rPr>
          <w:sz w:val="22"/>
        </w:rPr>
        <w:t xml:space="preserve">Paper 18 - Dr. Dieter Helm, Oxford Research, New College, Oxford: </w:t>
      </w:r>
      <w:r>
        <w:rPr>
          <w:b w:val="false"/>
          <w:i w:val="false"/>
          <w:sz w:val="22"/>
        </w:rPr>
        <w:t>Mrs. Thatcher’s first term was occupied with privatizing BP.  When Secretary Lawson of Energy Department was on the scene, he led to develop the role of markets, competition, more private ownership, and efficiency.  If you don’t get the structure right when you first privatize, it is hard to force competition later after the fact.  Gas in the UK is a great example, with structural, timely change and much more successful competition than the UK electricity transition.</w:t>
      </w:r>
    </w:p>
    <w:p>
      <w:pPr>
        <w:pStyle w:val="BodyText"/>
        <w:tabs>
          <w:tab w:val="left" w:pos="540" w:leader="none"/>
        </w:tabs>
        <w:rPr>
          <w:b w:val="false"/>
          <w:i w:val="false"/>
          <w:i w:val="false"/>
          <w:sz w:val="22"/>
        </w:rPr>
      </w:pPr>
      <w:r>
        <w:rPr>
          <w:b w:val="false"/>
          <w:i w:val="false"/>
          <w:sz w:val="22"/>
        </w:rPr>
      </w:r>
    </w:p>
    <w:p>
      <w:pPr>
        <w:pStyle w:val="BodyText"/>
        <w:tabs>
          <w:tab w:val="left" w:pos="540" w:leader="none"/>
          <w:tab w:val="left" w:pos="2160" w:leader="none"/>
        </w:tabs>
        <w:rPr>
          <w:b w:val="false"/>
          <w:i w:val="false"/>
          <w:i w:val="false"/>
          <w:sz w:val="22"/>
        </w:rPr>
      </w:pPr>
      <w:r>
        <w:rPr>
          <w:b w:val="false"/>
          <w:i w:val="false"/>
          <w:sz w:val="22"/>
        </w:rPr>
        <w:t>Mandelson’s plan:  -</w:t>
        <w:tab/>
        <w:t>gas plant moratorium</w:t>
      </w:r>
    </w:p>
    <w:p>
      <w:pPr>
        <w:pStyle w:val="BodyText"/>
        <w:tabs>
          <w:tab w:val="left" w:pos="540" w:leader="none"/>
          <w:tab w:val="left" w:pos="2160" w:leader="none"/>
        </w:tabs>
        <w:rPr>
          <w:b w:val="false"/>
          <w:i w:val="false"/>
          <w:i w:val="false"/>
          <w:sz w:val="22"/>
        </w:rPr>
      </w:pPr>
      <w:r>
        <w:rPr>
          <w:b w:val="false"/>
          <w:i w:val="false"/>
          <w:sz w:val="22"/>
        </w:rPr>
        <w:tab/>
        <w:tab/>
        <w:t>coal contracts signed</w:t>
        <w:br/>
        <w:tab/>
        <w:tab/>
        <w:t>plant divestment</w:t>
        <w:br/>
        <w:tab/>
        <w:tab/>
        <w:t>vertical integration</w:t>
      </w:r>
    </w:p>
    <w:p>
      <w:pPr>
        <w:pStyle w:val="BodyText"/>
        <w:tabs>
          <w:tab w:val="left" w:pos="540" w:leader="none"/>
          <w:tab w:val="left" w:pos="2160" w:leader="none"/>
        </w:tabs>
        <w:rPr>
          <w:b w:val="false"/>
          <w:i w:val="false"/>
          <w:i w:val="false"/>
          <w:sz w:val="22"/>
        </w:rPr>
      </w:pPr>
      <w:r>
        <w:rPr>
          <w:b w:val="false"/>
          <w:i w:val="false"/>
          <w:sz w:val="22"/>
        </w:rPr>
        <w:tab/>
        <w:tab/>
        <w:t>review of electricity trading arrangements (RETA)</w:t>
      </w:r>
    </w:p>
    <w:p>
      <w:pPr>
        <w:pStyle w:val="BodyText"/>
        <w:tabs>
          <w:tab w:val="left" w:pos="540" w:leader="none"/>
          <w:tab w:val="left" w:pos="2160" w:leader="none"/>
        </w:tabs>
        <w:rPr>
          <w:b w:val="false"/>
          <w:i w:val="false"/>
          <w:i w:val="false"/>
          <w:sz w:val="22"/>
        </w:rPr>
      </w:pPr>
      <w:r>
        <w:rPr>
          <w:b w:val="false"/>
          <w:i w:val="false"/>
          <w:sz w:val="22"/>
        </w:rPr>
      </w:r>
    </w:p>
    <w:p>
      <w:pPr>
        <w:pStyle w:val="BodyText"/>
        <w:tabs>
          <w:tab w:val="left" w:pos="540" w:leader="none"/>
          <w:tab w:val="left" w:pos="2160" w:leader="none"/>
        </w:tabs>
        <w:rPr>
          <w:b w:val="false"/>
          <w:i w:val="false"/>
          <w:i w:val="false"/>
          <w:sz w:val="22"/>
        </w:rPr>
      </w:pPr>
      <w:r>
        <w:rPr>
          <w:b w:val="false"/>
          <w:i w:val="false"/>
          <w:sz w:val="22"/>
        </w:rPr>
        <w:t>Trends developed:</w:t>
        <w:tab/>
        <w:t>UK - slow to unbundle power</w:t>
        <w:br/>
        <w:tab/>
        <w:tab/>
        <w:t>Vertically integrated</w:t>
      </w:r>
    </w:p>
    <w:p>
      <w:pPr>
        <w:pStyle w:val="BodyText"/>
        <w:tabs>
          <w:tab w:val="left" w:pos="540" w:leader="none"/>
          <w:tab w:val="left" w:pos="2160" w:leader="none"/>
        </w:tabs>
        <w:rPr>
          <w:b w:val="false"/>
          <w:i w:val="false"/>
          <w:i w:val="false"/>
          <w:sz w:val="22"/>
        </w:rPr>
      </w:pPr>
      <w:r>
        <w:rPr>
          <w:b w:val="false"/>
          <w:i w:val="false"/>
          <w:sz w:val="22"/>
        </w:rPr>
        <w:tab/>
        <w:tab/>
        <w:t>Horizontally integrated</w:t>
      </w:r>
    </w:p>
    <w:p>
      <w:pPr>
        <w:pStyle w:val="BodyText"/>
        <w:tabs>
          <w:tab w:val="left" w:pos="540" w:leader="none"/>
          <w:tab w:val="left" w:pos="2160" w:leader="none"/>
        </w:tabs>
        <w:rPr>
          <w:b w:val="false"/>
          <w:i w:val="false"/>
          <w:i w:val="false"/>
          <w:sz w:val="22"/>
        </w:rPr>
      </w:pPr>
      <w:r>
        <w:rPr>
          <w:b w:val="false"/>
          <w:i w:val="false"/>
          <w:sz w:val="22"/>
        </w:rPr>
      </w:r>
    </w:p>
    <w:p>
      <w:pPr>
        <w:pStyle w:val="BodyText"/>
        <w:tabs>
          <w:tab w:val="left" w:pos="540" w:leader="none"/>
          <w:tab w:val="left" w:pos="2160" w:leader="none"/>
        </w:tabs>
        <w:rPr>
          <w:b w:val="false"/>
          <w:i w:val="false"/>
          <w:i w:val="false"/>
          <w:sz w:val="22"/>
        </w:rPr>
      </w:pPr>
      <w:r>
        <w:rPr>
          <w:b w:val="false"/>
          <w:i w:val="false"/>
          <w:sz w:val="22"/>
        </w:rPr>
        <w:t>Who is restructuring to enhance market power?  EDF - ENEL - Germany</w:t>
      </w:r>
    </w:p>
    <w:p>
      <w:pPr>
        <w:pStyle w:val="BodyText"/>
        <w:tabs>
          <w:tab w:val="left" w:pos="540" w:leader="none"/>
          <w:tab w:val="left" w:pos="2160" w:leader="none"/>
        </w:tabs>
        <w:rPr>
          <w:b w:val="false"/>
          <w:i w:val="false"/>
          <w:i w:val="false"/>
          <w:sz w:val="22"/>
        </w:rPr>
      </w:pPr>
      <w:r>
        <w:rPr>
          <w:b w:val="false"/>
          <w:i w:val="false"/>
          <w:sz w:val="22"/>
        </w:rPr>
        <w:t xml:space="preserve">What will power pool reform do?  It is not enough.  In the UK, the job of reform remains undone.  </w:t>
      </w:r>
    </w:p>
    <w:p>
      <w:pPr>
        <w:pStyle w:val="BodyText"/>
        <w:tabs>
          <w:tab w:val="left" w:pos="540" w:leader="none"/>
          <w:tab w:val="left" w:pos="2160" w:leader="none"/>
        </w:tabs>
        <w:rPr>
          <w:b w:val="false"/>
          <w:i w:val="false"/>
          <w:i w:val="false"/>
          <w:sz w:val="22"/>
        </w:rPr>
      </w:pPr>
      <w:r>
        <w:rPr>
          <w:b w:val="false"/>
          <w:i w:val="false"/>
          <w:sz w:val="22"/>
        </w:rPr>
      </w:r>
    </w:p>
    <w:p>
      <w:pPr>
        <w:pStyle w:val="BodyText"/>
        <w:tabs>
          <w:tab w:val="left" w:pos="540" w:leader="none"/>
          <w:tab w:val="left" w:pos="2160" w:leader="none"/>
        </w:tabs>
        <w:rPr/>
      </w:pPr>
      <w:r>
        <w:rPr>
          <w:sz w:val="22"/>
        </w:rPr>
        <w:t xml:space="preserve">Paper 19 - Peter Davies, BP Amoco Economist:  </w:t>
      </w:r>
      <w:r>
        <w:rPr>
          <w:b w:val="false"/>
          <w:i w:val="false"/>
          <w:sz w:val="22"/>
        </w:rPr>
        <w:t xml:space="preserve">The top 3 oil firms, Exxon/Mobil, Shell and BP Amoco, each only hold about 1-2% of world proved oil and gas reserves and combined about 10-12% of world oil and gas production.  They see new entrants like stronger independents, large electrics, and gas pipelines and marketers entering the downstream sales business forcing cost cutting, putting downward pressures on margins and encouraging consolidation.  Companies like Shell, BP/Amoco and Exxon/Mobil are entering and converging  the power development business with oil.   </w:t>
      </w:r>
    </w:p>
    <w:p>
      <w:pPr>
        <w:pStyle w:val="Normal"/>
        <w:rPr>
          <w:rFonts w:ascii="Times New Roman" w:hAnsi="Times New Roman" w:cs="Times New Roman"/>
          <w:b/>
          <w:i/>
          <w:i/>
          <w:sz w:val="22"/>
        </w:rPr>
      </w:pPr>
      <w:r>
        <w:rPr>
          <w:rFonts w:cs="Times New Roman" w:ascii="Times New Roman" w:hAnsi="Times New Roman"/>
          <w:b/>
          <w:i/>
          <w:sz w:val="22"/>
        </w:rPr>
      </w:r>
    </w:p>
    <w:p>
      <w:pPr>
        <w:pStyle w:val="Body"/>
        <w:ind w:start="0" w:end="0"/>
        <w:rPr/>
      </w:pPr>
      <w:r>
        <w:rPr>
          <w:rFonts w:cs="Times New Roman" w:ascii="Times New Roman" w:hAnsi="Times New Roman"/>
          <w:b/>
          <w:i/>
          <w:sz w:val="22"/>
        </w:rPr>
        <w:t>Paper 20 - Dr. Michelle Foss - Director, Energy Institute, University of Houston</w:t>
      </w:r>
      <w:r>
        <w:rPr>
          <w:rFonts w:cs="Times New Roman" w:ascii="Times New Roman" w:hAnsi="Times New Roman"/>
          <w:sz w:val="22"/>
        </w:rPr>
        <w:t>:  Natural gas production and markets/deregulatory change have allowed the U.S. market to grow 2% per year.  Texas will promote electricity for profit transcos and will avoid a pool; go to more private exchanges and</w:t>
      </w:r>
    </w:p>
    <w:p>
      <w:pPr>
        <w:pStyle w:val="Body"/>
        <w:ind w:start="0" w:end="0"/>
        <w:rPr>
          <w:rFonts w:ascii="Times New Roman" w:hAnsi="Times New Roman" w:cs="Times New Roman"/>
          <w:sz w:val="22"/>
        </w:rPr>
      </w:pPr>
      <w:r>
        <w:rPr>
          <w:rFonts w:cs="Times New Roman" w:ascii="Times New Roman" w:hAnsi="Times New Roman"/>
          <w:sz w:val="22"/>
        </w:rPr>
      </w:r>
    </w:p>
    <w:p>
      <w:pPr>
        <w:pStyle w:val="Body"/>
        <w:ind w:start="0" w:end="0"/>
        <w:rPr>
          <w:rFonts w:ascii="Times New Roman" w:hAnsi="Times New Roman" w:cs="Times New Roman"/>
          <w:sz w:val="22"/>
        </w:rPr>
      </w:pPr>
      <w:r>
        <w:rPr>
          <w:rFonts w:cs="Times New Roman" w:ascii="Times New Roman" w:hAnsi="Times New Roman"/>
          <w:sz w:val="22"/>
        </w:rPr>
      </w:r>
    </w:p>
    <w:p>
      <w:pPr>
        <w:pStyle w:val="Body"/>
        <w:ind w:start="0" w:end="0"/>
        <w:rPr>
          <w:rFonts w:ascii="Times New Roman" w:hAnsi="Times New Roman" w:cs="Times New Roman"/>
          <w:sz w:val="22"/>
        </w:rPr>
      </w:pPr>
      <w:r>
        <w:rPr>
          <w:rFonts w:cs="Times New Roman" w:ascii="Times New Roman" w:hAnsi="Times New Roman"/>
          <w:sz w:val="22"/>
        </w:rPr>
      </w:r>
    </w:p>
    <w:p>
      <w:pPr>
        <w:pStyle w:val="Body"/>
        <w:ind w:start="0" w:end="0"/>
        <w:rPr>
          <w:rFonts w:ascii="Times New Roman" w:hAnsi="Times New Roman" w:cs="Times New Roman"/>
          <w:sz w:val="16"/>
        </w:rPr>
      </w:pPr>
      <w:r>
        <w:rPr>
          <w:rFonts w:cs="Times New Roman" w:ascii="Times New Roman" w:hAnsi="Times New Roman"/>
          <w:sz w:val="16"/>
        </w:rPr>
        <w:t>M157b</w:t>
      </w:r>
    </w:p>
    <w:p>
      <w:pPr>
        <w:pStyle w:val="Body"/>
        <w:ind w:start="180" w:end="0"/>
        <w:rPr>
          <w:rFonts w:ascii="Times New Roman" w:hAnsi="Times New Roman" w:cs="Times New Roman"/>
          <w:sz w:val="22"/>
        </w:rPr>
      </w:pPr>
      <w:r>
        <w:rPr>
          <w:rFonts w:cs="Times New Roman" w:ascii="Times New Roman" w:hAnsi="Times New Roman"/>
          <w:sz w:val="22"/>
        </w:rPr>
      </w:r>
    </w:p>
    <w:p>
      <w:pPr>
        <w:pStyle w:val="Body"/>
        <w:ind w:start="180" w:end="0"/>
        <w:rPr>
          <w:rFonts w:ascii="Times New Roman" w:hAnsi="Times New Roman" w:cs="Times New Roman"/>
          <w:sz w:val="22"/>
        </w:rPr>
      </w:pPr>
      <w:r>
        <w:rPr>
          <w:rFonts w:cs="Times New Roman" w:ascii="Times New Roman" w:hAnsi="Times New Roman"/>
          <w:sz w:val="22"/>
        </w:rPr>
      </w:r>
    </w:p>
    <w:p>
      <w:pPr>
        <w:pStyle w:val="Body"/>
        <w:ind w:start="180" w:end="0"/>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nextPage"/>
      <w:pgSz w:w="12240" w:h="15840"/>
      <w:pgMar w:left="72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1530" w:leader="none"/>
        <w:tab w:val="left" w:pos="3780" w:leader="none"/>
        <w:tab w:val="left" w:pos="5940" w:leader="none"/>
        <w:tab w:val="left" w:pos="8640" w:leader="none"/>
      </w:tabs>
      <w:rPr>
        <w:b/>
        <w:sz w:val="16"/>
      </w:rPr>
    </w:pPr>
    <w:r>
      <w:rPr>
        <w:b/>
        <w:sz w:val="16"/>
      </w:rPr>
    </w:r>
  </w:p>
  <w:p>
    <w:pPr>
      <w:pStyle w:val="Footer"/>
      <w:tabs>
        <w:tab w:val="clear" w:pos="4320"/>
        <w:tab w:val="left" w:pos="1530" w:leader="none"/>
        <w:tab w:val="left" w:pos="3780" w:leader="none"/>
        <w:tab w:val="left" w:pos="5940" w:leader="none"/>
        <w:tab w:val="left" w:pos="8640" w:leader="none"/>
      </w:tabs>
      <w:rPr>
        <w:b/>
        <w:sz w:val="16"/>
      </w:rPr>
    </w:pPr>
    <w:r>
      <w:rPr>
        <w:b/>
        <w:sz w:val="16"/>
      </w:rPr>
    </w:r>
  </w:p>
  <w:p>
    <w:pPr>
      <w:pStyle w:val="Footer"/>
      <w:tabs>
        <w:tab w:val="clear" w:pos="4320"/>
        <w:tab w:val="left" w:pos="1530" w:leader="none"/>
        <w:tab w:val="left" w:pos="3780" w:leader="none"/>
        <w:tab w:val="left" w:pos="5940" w:leader="none"/>
        <w:tab w:val="left" w:pos="8640" w:leader="none"/>
      </w:tabs>
      <w:rPr>
        <w:b/>
        <w:sz w:val="16"/>
      </w:rPr>
    </w:pPr>
    <w:r>
      <w:rPr>
        <w:b/>
        <w:sz w:val="16"/>
      </w:rPr>
    </w:r>
  </w:p>
  <w:p>
    <w:pPr>
      <w:pStyle w:val="Footer"/>
      <w:tabs>
        <w:tab w:val="clear" w:pos="4320"/>
        <w:tab w:val="left" w:pos="1530" w:leader="none"/>
        <w:tab w:val="left" w:pos="3780" w:leader="none"/>
        <w:tab w:val="left" w:pos="5940" w:leader="none"/>
        <w:tab w:val="left" w:pos="8640" w:leader="none"/>
      </w:tabs>
      <w:rPr>
        <w:b/>
        <w:sz w:val="16"/>
      </w:rPr>
    </w:pPr>
    <w:r>
      <w:rPr>
        <w:b/>
        <w:sz w:val="16"/>
      </w:rPr>
      <w:tab/>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1620" w:leader="none"/>
        <w:tab w:val="left" w:pos="3780" w:leader="none"/>
        <w:tab w:val="left" w:pos="5760" w:leader="none"/>
        <w:tab w:val="lef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2">
    <w:name w:val="Body Text 2"/>
    <w:basedOn w:val="Normal"/>
    <w:qFormat/>
    <w:pPr>
      <w:tabs>
        <w:tab w:val="clear" w:pos="540"/>
      </w:tabs>
      <w:jc w:val="both"/>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1999-09-27T14:11:00Z</dcterms:created>
  <dc:creator>Martina Simpson</dc:creator>
  <dc:description/>
  <dc:language>en-CA</dc:language>
  <cp:lastModifiedBy>jstrans</cp:lastModifiedBy>
  <cp:lastPrinted>1999-09-27T14:32:00Z</cp:lastPrinted>
  <dcterms:modified xsi:type="dcterms:W3CDTF">1999-09-27T17:03:00Z</dcterms:modified>
  <cp:revision>4</cp:revision>
  <dc:subject/>
  <dc:title> </dc:title>
</cp:coreProperties>
</file>