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Long-term VaR</w:t>
      </w:r>
    </w:p>
    <w:p>
      <w:pPr>
        <w:pStyle w:val="Normal"/>
        <w:jc w:val="both"/>
        <w:rPr/>
      </w:pPr>
      <w:r>
        <w:rPr/>
      </w:r>
    </w:p>
    <w:p>
      <w:pPr>
        <w:pStyle w:val="BodyText"/>
        <w:rPr/>
      </w:pPr>
      <w:r>
        <w:rPr/>
        <w:t xml:space="preserve">Most risk management system produce estimates of overnight value-at-risk: an estimate of a loss that may be incurred in the value of a portfolio over one day horizon, with a given probability, due to market prices fluctuations. A trader or a senior executive may be often interested in a different risk measure: an exposure of a portfolio to losses over longer time periods, assuming that the composition of a portfolio remains unchanged. Typically the answer to such a question is provided using the so-called rule of the square root of </w:t>
      </w:r>
      <w:r>
        <w:rPr>
          <w:b/>
          <w:i/>
        </w:rPr>
        <w:t>n</w:t>
      </w:r>
      <w:r>
        <w:rPr/>
        <w:t>. Overnight value at risk is multiplied by the square root of the number of days to horizon. For example, if value-at-risk is equal to $50MM over one day at 5% probability level, one can expect losses exceeding $50MM once in every 20 days (5 times over one hundred days). The exposure over one year is roughly equal to about one billion dollars. This result is obtained by multiplying the daily value-at-risk by 20. To be precise, one should multiply $50MM by 19.1 (=</w:t>
      </w:r>
      <w:r>
        <w:rPr>
          <w:rFonts w:eastAsia="Symbol" w:cs="Symbol" w:ascii="Symbol" w:hAnsi="Symbol"/>
        </w:rPr>
        <w:sym w:font="Symbol" w:char="f0d6"/>
      </w:r>
      <w:r>
        <w:rPr/>
        <w:t xml:space="preserve">365). This rule is derived from the so-called additivity of variance: the variance of the sum of </w:t>
      </w:r>
      <w:r>
        <w:rPr>
          <w:i/>
        </w:rPr>
        <w:t xml:space="preserve">independent </w:t>
      </w:r>
      <w:r>
        <w:rPr/>
        <w:t xml:space="preserve">random variables is equal to the sum of variances. In case all the random variables are identically distributed all the variances are equal and the variance of the sum of </w:t>
      </w:r>
      <w:r>
        <w:rPr>
          <w:i/>
        </w:rPr>
        <w:t>n</w:t>
      </w:r>
      <w:r>
        <w:rPr/>
        <w:t xml:space="preserve"> variables is equal to </w:t>
      </w:r>
      <w:r>
        <w:rPr>
          <w:i/>
        </w:rPr>
        <w:t>n</w:t>
      </w:r>
      <w:r>
        <w:rPr/>
        <w:t xml:space="preserve"> multiplied by the common variance. The standard deviation of the sum is equal to the square root of </w:t>
      </w:r>
      <w:r>
        <w:rPr>
          <w:i/>
        </w:rPr>
        <w:t>n</w:t>
      </w:r>
      <w:r>
        <w:rPr/>
        <w:t xml:space="preserve"> multiplied by the common standard deviation.</w:t>
      </w:r>
    </w:p>
    <w:p>
      <w:pPr>
        <w:pStyle w:val="Normal"/>
        <w:jc w:val="both"/>
        <w:rPr/>
      </w:pPr>
      <w:r>
        <w:rPr/>
      </w:r>
    </w:p>
    <w:p>
      <w:pPr>
        <w:pStyle w:val="BodyText"/>
        <w:rPr/>
      </w:pPr>
      <w:r>
        <w:rPr/>
        <w:t xml:space="preserve">Most value-at-risk systems depend on the assumption of normality.  Typically, it is assumed that market price returns follow multivariate normal distributions or that risk factors are normally distributed. The challenge to risk management is that many financial time series observed in practice, including price returns, are characterized by the so-called heavy tails. Heavy tails property means that the probability of extreme outcomes is larger than a normal distribution might imply. If we use normal distribution as a norm, events like the market crashes of 1929 and 1987 are practically impossible. One would have to wait for such events for time longer than the life of the universe (and we had such events a few times in this century). Does it mean that the </w:t>
      </w:r>
      <w:r>
        <w:rPr>
          <w:rFonts w:eastAsia="Symbol" w:cs="Symbol" w:ascii="Symbol" w:hAnsi="Symbol"/>
        </w:rPr>
        <w:sym w:font="Symbol" w:char="f0d6"/>
      </w:r>
      <w:r>
        <w:rPr/>
        <w:t>n rule understates the long-term market risk of a portfolio?</w:t>
      </w:r>
    </w:p>
    <w:p>
      <w:pPr>
        <w:pStyle w:val="Normal"/>
        <w:jc w:val="both"/>
        <w:rPr/>
      </w:pPr>
      <w:r>
        <w:rPr/>
      </w:r>
    </w:p>
    <w:p>
      <w:pPr>
        <w:pStyle w:val="Normal"/>
        <w:jc w:val="both"/>
        <w:rPr/>
      </w:pPr>
      <w:r>
        <w:rPr/>
        <w:t xml:space="preserve">Fortunately, there is a strong reason to believe that this is not the case. This conclusion is based on a special statistical theory, known as </w:t>
      </w:r>
      <w:r>
        <w:rPr>
          <w:i/>
        </w:rPr>
        <w:t>extreme value theory</w:t>
      </w:r>
      <w:r>
        <w:rPr/>
        <w:t xml:space="preserve"> (EVT). EVT was developed in recent years to model properties of distributions characterized by heavy tails. One of the most important statements is that the tails of such distributions can be described, in the first approximation, using the same distribution, known as Pareto distribution. If a distribution has thick tails, then extreme outcomes occur with the following probability (we shall assume that our random variable of interest is price return R):</w:t>
      </w:r>
    </w:p>
    <w:p>
      <w:pPr>
        <w:pStyle w:val="Normal"/>
        <w:jc w:val="both"/>
        <w:rPr/>
      </w:pPr>
      <w:r>
        <w:rPr/>
      </w:r>
    </w:p>
    <w:p>
      <w:pPr>
        <w:pStyle w:val="Normal"/>
        <w:jc w:val="both"/>
        <w:rPr/>
      </w:pPr>
      <w:r>
        <w:rPr/>
        <w:t xml:space="preserve">P{R &lt; - r} = F(-r) </w:t>
      </w:r>
      <w:r>
        <w:rPr>
          <w:rFonts w:eastAsia="Symbol" w:cs="Symbol" w:ascii="Symbol" w:hAnsi="Symbol"/>
        </w:rPr>
        <w:sym w:font="Symbol" w:char="f0bb"/>
      </w:r>
      <w:r>
        <w:rPr/>
        <w:t xml:space="preserve"> </w:t>
      </w:r>
      <w:r>
        <w:rPr/>
      </w:r>
      <m:oMath xmlns:m="http://schemas.openxmlformats.org/officeDocument/2006/math">
        <m:sSup>
          <m:e>
            <m:r>
              <m:t xml:space="preserve">βr</m:t>
            </m:r>
          </m:e>
          <m:sup>
            <m:r>
              <m:t xml:space="preserve">−</m:t>
            </m:r>
            <m:r>
              <m:t xml:space="preserve">α</m:t>
            </m:r>
          </m:sup>
        </m:sSup>
      </m:oMath>
      <w:r>
        <w:rPr/>
        <w:t xml:space="preserve">, as r </w:t>
      </w:r>
      <w:r>
        <w:rPr>
          <w:rFonts w:eastAsia="Symbol" w:cs="Symbol" w:ascii="Symbol" w:hAnsi="Symbol"/>
        </w:rPr>
        <w:sym w:font="Symbol" w:char="f0ae"/>
      </w:r>
      <w:r>
        <w:rPr/>
        <w:t xml:space="preserve"> </w:t>
      </w:r>
      <w:r>
        <w:rPr>
          <w:rFonts w:eastAsia="Symbol" w:cs="Symbol" w:ascii="Symbol" w:hAnsi="Symbol"/>
        </w:rPr>
        <w:sym w:font="Symbol" w:char="f0a5"/>
      </w:r>
    </w:p>
    <w:p>
      <w:pPr>
        <w:pStyle w:val="Normal"/>
        <w:jc w:val="both"/>
        <w:rPr/>
      </w:pPr>
      <w:r>
        <w:rPr/>
      </w:r>
    </w:p>
    <w:p>
      <w:pPr>
        <w:pStyle w:val="Normal"/>
        <w:jc w:val="both"/>
        <w:rPr/>
      </w:pPr>
      <w:r>
        <w:rPr/>
        <w:t xml:space="preserve">This statement means that a probability of a return R falling bellow certain negative level, -r, is equal roughly to </w:t>
      </w:r>
      <w:r>
        <w:rPr/>
      </w:r>
      <m:oMath xmlns:m="http://schemas.openxmlformats.org/officeDocument/2006/math">
        <m:sSup>
          <m:e>
            <m:r>
              <m:t xml:space="preserve">βr</m:t>
            </m:r>
          </m:e>
          <m:sup>
            <m:r>
              <m:t xml:space="preserve">−</m:t>
            </m:r>
            <m:r>
              <m:t xml:space="preserve">α</m:t>
            </m:r>
          </m:sup>
        </m:sSup>
      </m:oMath>
      <w:r>
        <w:rPr/>
        <w:t xml:space="preserve"> , where </w:t>
      </w:r>
      <w:r>
        <w:rPr>
          <w:rFonts w:eastAsia="Symbol" w:cs="Symbol" w:ascii="Symbol" w:hAnsi="Symbol"/>
        </w:rPr>
        <w:sym w:font="Symbol" w:char="f061"/>
      </w:r>
      <w:r>
        <w:rPr/>
        <w:t xml:space="preserve"> stands for the so called tail index. The </w:t>
      </w:r>
      <w:r>
        <w:rPr>
          <w:rFonts w:eastAsia="Symbol" w:cs="Symbol" w:ascii="Symbol" w:hAnsi="Symbol"/>
        </w:rPr>
        <w:sym w:font="Symbol" w:char="f062"/>
      </w:r>
      <w:r>
        <w:rPr/>
        <w:t xml:space="preserve"> parameter stands for the so-called scaling constant. What is interesting is that the number of finite moments of the distribution is related to the level of </w:t>
      </w:r>
      <w:r>
        <w:rPr>
          <w:rFonts w:eastAsia="Symbol" w:cs="Symbol" w:ascii="Symbol" w:hAnsi="Symbol"/>
        </w:rPr>
        <w:sym w:font="Symbol" w:char="f061"/>
      </w:r>
      <w:r>
        <w:rPr/>
        <w:t xml:space="preserve">. The number of finite moments is smaller than </w:t>
      </w:r>
      <w:r>
        <w:rPr>
          <w:rFonts w:eastAsia="Symbol" w:cs="Symbol" w:ascii="Symbol" w:hAnsi="Symbol"/>
        </w:rPr>
        <w:sym w:font="Symbol" w:char="f061"/>
      </w:r>
      <w:r>
        <w:rPr/>
        <w:t xml:space="preserve">. This means that if a price return have a finite variance (that can be calculated from the second moment), </w:t>
      </w:r>
      <w:r>
        <w:rPr>
          <w:rFonts w:eastAsia="Symbol" w:cs="Symbol" w:ascii="Symbol" w:hAnsi="Symbol"/>
        </w:rPr>
        <w:sym w:font="Symbol" w:char="f061"/>
      </w:r>
      <w:r>
        <w:rPr/>
        <w:t xml:space="preserve"> has to be greater than 2.</w:t>
      </w:r>
    </w:p>
    <w:p>
      <w:pPr>
        <w:pStyle w:val="Normal"/>
        <w:jc w:val="both"/>
        <w:rPr/>
      </w:pPr>
      <w:r>
        <w:rPr/>
      </w:r>
    </w:p>
    <w:p>
      <w:pPr>
        <w:pStyle w:val="Normal"/>
        <w:jc w:val="both"/>
        <w:rPr/>
      </w:pPr>
      <w:r>
        <w:rPr/>
        <w:t xml:space="preserve">The distributions that are fat-tailed have the property of tail additivity. This means that a multiplier for value-at-risk over the holding period of </w:t>
      </w:r>
      <w:r>
        <w:rPr>
          <w:b/>
          <w:i/>
        </w:rPr>
        <w:t>n</w:t>
      </w:r>
      <w:r>
        <w:rPr/>
        <w:t xml:space="preserve"> days is equal to </w:t>
      </w:r>
      <w:r>
        <w:rPr/>
      </w:r>
      <m:oMath xmlns:m="http://schemas.openxmlformats.org/officeDocument/2006/math">
        <m:rad>
          <m:deg>
            <m:r>
              <m:t xml:space="preserve">α</m:t>
            </m:r>
          </m:deg>
          <m:e>
            <m:r>
              <m:t xml:space="preserve">n</m:t>
            </m:r>
          </m:e>
        </m:rad>
      </m:oMath>
      <w:r>
        <w:rPr/>
        <w:t xml:space="preserve"> which is smaller than </w:t>
      </w:r>
      <w:r>
        <w:rPr/>
      </w:r>
      <m:oMath xmlns:m="http://schemas.openxmlformats.org/officeDocument/2006/math">
        <m:rad>
          <m:deg>
            <m:r>
              <m:t xml:space="preserve">2</m:t>
            </m:r>
          </m:deg>
          <m:e>
            <m:r>
              <m:t xml:space="preserve">n</m:t>
            </m:r>
          </m:e>
        </m:rad>
      </m:oMath>
      <w:r>
        <w:rPr/>
        <w:t>. This means that even if we believe in relatively high probability of extreme outcomes, “</w:t>
      </w:r>
      <w:r>
        <w:rPr>
          <w:i/>
        </w:rPr>
        <w:t>the rule of the square root of</w:t>
      </w:r>
      <w:r>
        <w:rPr/>
        <w:t xml:space="preserve"> </w:t>
      </w:r>
      <w:r>
        <w:rPr>
          <w:i/>
        </w:rPr>
        <w:t>n</w:t>
      </w:r>
      <w:r>
        <w:rPr/>
        <w:t>” is still conservative.</w:t>
      </w:r>
    </w:p>
    <w:p>
      <w:pPr>
        <w:pStyle w:val="Normal"/>
        <w:jc w:val="both"/>
        <w:rPr/>
      </w:pPr>
      <w:r>
        <w:rPr/>
      </w:r>
    </w:p>
    <w:p>
      <w:pPr>
        <w:pStyle w:val="Normal"/>
        <w:jc w:val="both"/>
        <w:rPr/>
      </w:pPr>
      <w:r>
        <w:rPr/>
        <w:t xml:space="preserve">Similar conclusions can be derived from models based on different premises. An interested reader can consult a paper written by F. Diebold and which investigates the consequences of stochastic volatility for the value-at-risk estimates for longer time periods. </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2000-05-22T10:26:00Z</dcterms:created>
  <dc:creator>vkamins</dc:creator>
  <dc:description/>
  <dc:language>en-CA</dc:language>
  <cp:lastModifiedBy>vkamins</cp:lastModifiedBy>
  <dcterms:modified xsi:type="dcterms:W3CDTF">2000-05-22T10:26:00Z</dcterms:modified>
  <cp:revision>2</cp:revision>
  <dc:subject/>
  <dc:title>Long-term VaR</dc:title>
</cp:coreProperties>
</file>