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me1"/>
        <w:spacing w:before="800" w:after="0"/>
        <w:rPr/>
      </w:pPr>
      <w:r>
        <w:rPr/>
        <w:tab/>
        <w:t>Kerri L. Barsh</w:t>
      </w:r>
    </w:p>
    <w:p>
      <w:pPr>
        <w:pStyle w:val="Name2"/>
        <w:rPr/>
      </w:pPr>
      <w:r>
        <w:rPr/>
        <w:tab/>
        <w:t>(305) 579-0772</w:t>
      </w:r>
    </w:p>
    <w:p>
      <w:pPr>
        <w:pStyle w:val="Name2"/>
        <w:rPr/>
      </w:pPr>
      <w:r>
        <w:rPr/>
        <w:tab/>
        <w:t>Direct Fax:  (305) 961-5772</w:t>
      </w:r>
    </w:p>
    <w:p>
      <w:pPr>
        <w:pStyle w:val="Name2"/>
        <w:rPr/>
      </w:pPr>
      <w:r>
        <w:rPr/>
        <w:tab/>
        <w:t>E-Mail:  barshk@gtlaw.com</w:t>
      </w:r>
    </w:p>
    <w:p>
      <w:pPr>
        <w:pStyle w:val="Letter"/>
        <w:rPr/>
      </w:pPr>
      <w:r>
        <w:rPr/>
      </w:r>
    </w:p>
    <w:p>
      <w:pPr>
        <w:pStyle w:val="Letter"/>
        <w:jc w:val="center"/>
        <w:rPr/>
      </w:pPr>
      <w:r>
        <w:rPr/>
        <w:t>August 14, 2001</w:t>
      </w:r>
    </w:p>
    <w:p>
      <w:pPr>
        <w:pStyle w:val="Letter"/>
        <w:rPr/>
      </w:pPr>
      <w:r>
        <w:rPr/>
      </w:r>
    </w:p>
    <w:p>
      <w:pPr>
        <w:pStyle w:val="Letter"/>
        <w:rPr/>
      </w:pPr>
      <w:r>
        <w:rPr/>
      </w:r>
    </w:p>
    <w:p>
      <w:pPr>
        <w:pStyle w:val="Letter"/>
        <w:rPr/>
      </w:pPr>
      <w:r>
        <w:rPr/>
      </w:r>
    </w:p>
    <w:p>
      <w:pPr>
        <w:pStyle w:val="ConveyanceLine"/>
        <w:tabs>
          <w:tab w:val="clear" w:pos="5040"/>
        </w:tabs>
        <w:spacing w:before="0" w:after="0"/>
        <w:rPr/>
      </w:pPr>
      <w:r>
        <w:rPr/>
        <w:t>C. Kay Mann, Esq.</w:t>
      </w:r>
    </w:p>
    <w:p>
      <w:pPr>
        <w:pStyle w:val="Normal"/>
        <w:rPr/>
      </w:pPr>
      <w:r>
        <w:rPr/>
        <w:t>Enron North America Corp.</w:t>
      </w:r>
    </w:p>
    <w:p>
      <w:pPr>
        <w:pStyle w:val="Normal"/>
        <w:rPr/>
      </w:pPr>
      <w:r>
        <w:rPr/>
        <w:t>1400 Smith Street</w:t>
      </w:r>
    </w:p>
    <w:p>
      <w:pPr>
        <w:pStyle w:val="Normal"/>
        <w:rPr/>
      </w:pPr>
      <w:r>
        <w:rPr/>
        <w:t>Houston, TX  77002-7361</w:t>
        <w:tab/>
      </w:r>
    </w:p>
    <w:p>
      <w:pPr>
        <w:pStyle w:val="Normal"/>
        <w:rPr/>
      </w:pPr>
      <w:r>
        <w:rPr/>
      </w:r>
    </w:p>
    <w:p>
      <w:pPr>
        <w:pStyle w:val="ReLine"/>
        <w:spacing w:before="0" w:after="0"/>
        <w:rPr/>
      </w:pPr>
      <w:r>
        <w:rPr/>
        <w:t>Re:</w:t>
        <w:tab/>
      </w:r>
      <w:r>
        <w:rPr>
          <w:b/>
          <w:bCs/>
          <w:i/>
          <w:iCs/>
        </w:rPr>
        <w:t>Deerfield And Pompano Beach Air Permitting Proceedings</w:t>
      </w:r>
    </w:p>
    <w:p>
      <w:pPr>
        <w:pStyle w:val="Normal"/>
        <w:rPr>
          <w:b/>
          <w:bCs/>
          <w:i/>
          <w:i/>
          <w:iCs/>
        </w:rPr>
      </w:pPr>
      <w:r>
        <w:rPr>
          <w:b/>
          <w:bCs/>
          <w:i/>
          <w:iCs/>
        </w:rPr>
      </w:r>
    </w:p>
    <w:p>
      <w:pPr>
        <w:pStyle w:val="ReLine"/>
        <w:spacing w:before="0" w:after="0"/>
        <w:ind w:hanging="1440" w:end="0"/>
        <w:rPr/>
      </w:pPr>
      <w:r>
        <w:rPr/>
        <w:t>Dear Kay:</w:t>
      </w:r>
    </w:p>
    <w:p>
      <w:pPr>
        <w:pStyle w:val="Normal"/>
        <w:rPr/>
      </w:pPr>
      <w:r>
        <w:rPr/>
      </w:r>
    </w:p>
    <w:p>
      <w:pPr>
        <w:pStyle w:val="Normal"/>
        <w:rPr/>
      </w:pPr>
      <w:r>
        <w:rPr/>
        <w:tab/>
        <w:t>You have asked that we provide you with the projected legal fees associated with the two proceedings described above, as well as a written synopsis of the litigation options available to Enron and the team of attorneys selected to litigate the two matters.  Set forth below is the information that you requested.</w:t>
      </w:r>
    </w:p>
    <w:p>
      <w:pPr>
        <w:pStyle w:val="Normal"/>
        <w:rPr/>
      </w:pPr>
      <w:r>
        <w:rPr/>
      </w:r>
    </w:p>
    <w:p>
      <w:pPr>
        <w:pStyle w:val="Normal"/>
        <w:rPr/>
      </w:pPr>
      <w:r>
        <w:rPr/>
        <w:tab/>
        <w:t>Our strategy in this administrative litigation is to sustain the Department of Environmental Protection’s intent to issue a PSD air quality permit for both the Pompano Beach and Deerfield facilities, in a cost-effective manner.</w:t>
      </w:r>
      <w:r>
        <w:rPr>
          <w:rStyle w:val="FootnoteCharacters"/>
          <w:rStyle w:val="FootnoteReference"/>
        </w:rPr>
        <w:footnoteReference w:id="2"/>
      </w:r>
      <w:r>
        <w:rPr/>
        <w:t xml:space="preserve">  To that end, we have assembled a core team of the following attorneys, each with specific areas of expertise. </w:t>
      </w:r>
    </w:p>
    <w:p>
      <w:pPr>
        <w:pStyle w:val="Normal"/>
        <w:rPr/>
      </w:pPr>
      <w:r>
        <w:rPr/>
      </w:r>
    </w:p>
    <w:p>
      <w:pPr>
        <w:pStyle w:val="Normal"/>
        <w:rPr/>
      </w:pPr>
      <w:r>
        <w:rPr/>
        <w:tab/>
        <w:tab/>
        <w:t>Kerri Barsh  - Shareholder, with technical and permitting expertise;</w:t>
      </w:r>
    </w:p>
    <w:p>
      <w:pPr>
        <w:pStyle w:val="Normal"/>
        <w:rPr/>
      </w:pPr>
      <w:r>
        <w:rPr/>
        <w:tab/>
        <w:tab/>
        <w:t>Ryan Reetz – Shareholder, lead litigation attorney;</w:t>
      </w:r>
    </w:p>
    <w:p>
      <w:pPr>
        <w:pStyle w:val="Normal"/>
        <w:ind w:hanging="3150" w:start="3150" w:end="0"/>
        <w:rPr/>
      </w:pPr>
      <w:r>
        <w:rPr/>
        <w:tab/>
        <w:tab/>
        <w:t>Mike Cherniga – Shareholder, with administrative expertise, to be called upon as necessary;</w:t>
      </w:r>
    </w:p>
    <w:p>
      <w:pPr>
        <w:pStyle w:val="Normal"/>
        <w:rPr/>
      </w:pPr>
      <w:r>
        <w:rPr/>
        <w:tab/>
        <w:tab/>
        <w:t>Paul Savage – Associate, litigation support;</w:t>
      </w:r>
    </w:p>
    <w:p>
      <w:pPr>
        <w:pStyle w:val="Normal"/>
        <w:rPr/>
      </w:pPr>
      <w:r>
        <w:rPr/>
        <w:tab/>
        <w:tab/>
        <w:t>Jim Tolpin – Associate, litigation support; and</w:t>
      </w:r>
    </w:p>
    <w:p>
      <w:pPr>
        <w:pStyle w:val="Normal"/>
        <w:rPr/>
      </w:pPr>
      <w:r>
        <w:rPr/>
        <w:tab/>
        <w:tab/>
        <w:t>Erick Rodriguez – Paralegal, litigation support.</w:t>
      </w:r>
    </w:p>
    <w:p>
      <w:pPr>
        <w:pStyle w:val="Normal"/>
        <w:ind w:hanging="3330" w:start="3330" w:end="0"/>
        <w:rPr/>
      </w:pPr>
      <w:r>
        <w:rPr/>
      </w:r>
    </w:p>
    <w:p>
      <w:pPr>
        <w:pStyle w:val="Normal"/>
        <w:ind w:hanging="3330" w:start="3330" w:end="0"/>
        <w:rPr/>
      </w:pPr>
      <w:r>
        <w:rPr/>
        <w:t>For your convenience, I am attaching a list of the billing rates for each of these attorneys.</w:t>
      </w:r>
    </w:p>
    <w:p>
      <w:pPr>
        <w:pStyle w:val="Normal"/>
        <w:ind w:hanging="3330" w:start="3330" w:end="0"/>
        <w:rPr/>
      </w:pPr>
      <w:r>
        <w:rPr/>
      </w:r>
    </w:p>
    <w:p>
      <w:pPr>
        <w:pStyle w:val="Normal"/>
        <w:rPr/>
      </w:pPr>
      <w:r>
        <w:rPr/>
        <w:tab/>
        <w:t>Now that the administrative law judge in each proceeding has issued an Initial Order acknowledging his designation as the presiding officer, the litigation of the proceeding may commence, including, without limitation, discovery and motion practice.</w:t>
      </w:r>
    </w:p>
    <w:p>
      <w:pPr>
        <w:pStyle w:val="Normal"/>
        <w:rPr/>
      </w:pPr>
      <w:r>
        <w:rPr/>
      </w:r>
    </w:p>
    <w:p>
      <w:pPr>
        <w:pStyle w:val="Normal"/>
        <w:rPr/>
      </w:pPr>
      <w:r>
        <w:rPr/>
        <w:tab/>
        <w:t>As you are aware, the litigation of these proceedings may prove complex or relatively simple, depending upon the level of opposition by the petitioners and the level of support by Enron’s co-respondent, the Department of Environmental Protection.  Assuming an “average” level of opposition as presented by the existing petitioners, we estimate that discovery will cost approximately $75,000 for both proceedings.</w:t>
      </w:r>
    </w:p>
    <w:p>
      <w:pPr>
        <w:pStyle w:val="Normal"/>
        <w:rPr/>
      </w:pPr>
      <w:r>
        <w:rPr/>
      </w:r>
    </w:p>
    <w:p>
      <w:pPr>
        <w:pStyle w:val="Normal"/>
        <w:rPr/>
      </w:pPr>
      <w:r>
        <w:rPr/>
        <w:tab/>
        <w:t>In addition, based upon a four-day trial for each permit dispute (as set forth in DEP’s Response to Initial Order), with four opposing parties challenging the permit issuance and a core team of three attorneys, to be supplemented as necessary, we estimate that the trial preparation and trial will cost $225,000 for both proceedings ($100,000 for preparation and $125,000 for the trial itself).  Thus, the projected legal fees to take both permit proceedings through trial are $300,000.</w:t>
      </w:r>
      <w:r>
        <w:rPr>
          <w:rStyle w:val="FootnoteCharacters"/>
          <w:rStyle w:val="FootnoteReference"/>
        </w:rPr>
        <w:footnoteReference w:id="3"/>
      </w:r>
    </w:p>
    <w:p>
      <w:pPr>
        <w:pStyle w:val="Normal"/>
        <w:rPr/>
      </w:pPr>
      <w:r>
        <w:rPr/>
      </w:r>
    </w:p>
    <w:p>
      <w:pPr>
        <w:pStyle w:val="Normal"/>
        <w:rPr/>
      </w:pPr>
      <w:r>
        <w:rPr/>
        <w:tab/>
        <w:t>Please note that these estimates include certain anticipated “economies of scale” in defending the permits for both facilities.  Should Enron choose not to proceed with one of the two permits, then our estimate of legal fees associated with the administrative litigation for one permit is expected to range from $150,000 to $200,000, rather than the $150,000 sum derived from simply halving our $300,000 estimate.  Moreover, the estimates do not include any appeals or challenges to a final, non-appealable decision on the permits in question.  Finally, please note that administrative litigation under the State of Florida Administrative Procedures Act (chapter 120 of the Florida Statutes) typically involves a number of post-hearing pleadings, including the filing of a recommended order of proposed findings of fact and conclusions of law and exceptions to recommended orders filed by other litigants, which we have considered in our fee estimates above.</w:t>
      </w:r>
    </w:p>
    <w:p>
      <w:pPr>
        <w:pStyle w:val="Normal"/>
        <w:rPr/>
      </w:pPr>
      <w:r>
        <w:rPr/>
      </w:r>
      <w:r>
        <w:br w:type="page"/>
      </w:r>
    </w:p>
    <w:p>
      <w:pPr>
        <w:pStyle w:val="Normal"/>
        <w:rPr/>
      </w:pPr>
      <w:r>
        <w:rPr/>
        <w:tab/>
        <w:t>I trust that this letter addresses your questions but please contact me if I can be of further assistance on the foregoing.</w:t>
      </w:r>
    </w:p>
    <w:p>
      <w:pPr>
        <w:pStyle w:val="Normal"/>
        <w:rPr/>
      </w:pPr>
      <w:r>
        <w:rPr/>
      </w:r>
    </w:p>
    <w:p>
      <w:pPr>
        <w:pStyle w:val="Sincerely"/>
        <w:rPr/>
      </w:pPr>
      <w:r>
        <w:rPr/>
        <w:tab/>
        <w:tab/>
        <w:t>Very truly yours,</w:t>
      </w:r>
    </w:p>
    <w:p>
      <w:pPr>
        <w:pStyle w:val="Sincerely"/>
        <w:rPr/>
      </w:pPr>
      <w:r>
        <w:rPr/>
      </w:r>
    </w:p>
    <w:p>
      <w:pPr>
        <w:pStyle w:val="Sincerely"/>
        <w:rPr/>
      </w:pPr>
      <w:r>
        <w:rPr/>
      </w:r>
    </w:p>
    <w:p>
      <w:pPr>
        <w:pStyle w:val="Sincerely"/>
        <w:rPr/>
      </w:pPr>
      <w:r>
        <w:rPr/>
        <w:tab/>
        <w:tab/>
        <w:t>Kerri L. Barsh</w:t>
      </w:r>
    </w:p>
    <w:p>
      <w:pPr>
        <w:pStyle w:val="Sincerely"/>
        <w:rPr/>
      </w:pPr>
      <w:r>
        <w:rPr/>
      </w:r>
    </w:p>
    <w:p>
      <w:pPr>
        <w:pStyle w:val="Normal"/>
        <w:rPr/>
      </w:pPr>
      <w:r>
        <w:rPr/>
        <w:t>cc:</w:t>
        <w:tab/>
        <w:t>Steven J. Krimsky</w:t>
      </w:r>
      <w:r>
        <w:br w:type="page"/>
      </w:r>
    </w:p>
    <w:p>
      <w:pPr>
        <w:pStyle w:val="Normal"/>
        <w:rPr/>
      </w:pPr>
      <w:r>
        <w:rPr/>
        <w:t>bcc:</w:t>
        <w:tab/>
        <w:t>Debbie M. Orshefsky, Esq.</w:t>
      </w:r>
    </w:p>
    <w:p>
      <w:pPr>
        <w:pStyle w:val="Normal"/>
        <w:rPr/>
      </w:pPr>
      <w:r>
        <w:rPr/>
        <w:tab/>
        <w:t>Ryan C. Reetz, Esq.</w:t>
      </w:r>
    </w:p>
    <w:p>
      <w:pPr>
        <w:pStyle w:val="Normal"/>
        <w:rPr/>
      </w:pPr>
      <w:r>
        <w:rPr/>
        <w:tab/>
      </w:r>
    </w:p>
    <w:p>
      <w:pPr>
        <w:pStyle w:val="Letter"/>
        <w:spacing w:before="480" w:after="0"/>
        <w:rPr>
          <w:sz w:val="14"/>
        </w:rPr>
      </w:pPr>
      <w:bookmarkStart w:id="0" w:name="lpDocsInfo"/>
      <w:r>
        <w:rPr>
          <w:sz w:val="14"/>
        </w:rPr>
        <w:fldChar w:fldCharType="begin"/>
      </w:r>
      <w:r>
        <w:rPr>
          <w:sz w:val="14"/>
        </w:rPr>
        <w:instrText xml:space="preserve"> DOCPROPERTY "gtTagLine"</w:instrText>
      </w:r>
      <w:r>
        <w:rPr>
          <w:sz w:val="14"/>
        </w:rPr>
        <w:fldChar w:fldCharType="separate"/>
      </w:r>
      <w:r>
        <w:rPr>
          <w:sz w:val="14"/>
        </w:rPr>
        <w:t>\\MIA-SRV01\BARSHK\1329791v01\S$2N01!.DOC\8/7/01\42292.011100</w:t>
      </w:r>
      <w:r>
        <w:rPr>
          <w:sz w:val="14"/>
        </w:rPr>
        <w:fldChar w:fldCharType="end"/>
      </w:r>
      <w:bookmarkEnd w:id="0"/>
    </w:p>
    <w:sectPr>
      <w:headerReference w:type="default" r:id="rId2"/>
      <w:headerReference w:type="first" r:id="rId3"/>
      <w:footnotePr>
        <w:numFmt w:val="decimal"/>
      </w:footnotePr>
      <w:type w:val="nextPage"/>
      <w:pgSz w:w="12240" w:h="15840"/>
      <w:pgMar w:left="1440" w:right="1440" w:gutter="0" w:header="1440" w:top="1496"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To the extent that there are scheduling conflicts between the two sites, then Deerfield is the facility of preference, given the lack of zoning approval for the Pompano Beach site.</w:t>
      </w:r>
    </w:p>
    <w:p>
      <w:pPr>
        <w:pStyle w:val="FootnoteText"/>
        <w:rPr/>
      </w:pPr>
      <w:r>
        <w:rPr/>
      </w:r>
    </w:p>
  </w:footnote>
  <w:footnote w:id="3">
    <w:p>
      <w:pPr>
        <w:pStyle w:val="FootnoteText"/>
        <w:rPr/>
      </w:pPr>
      <w:r>
        <w:rPr>
          <w:rStyle w:val="FootnoteCharacters"/>
        </w:rPr>
        <w:footnoteRef/>
      </w:r>
      <w:r>
        <w:rPr/>
        <w:t xml:space="preserve"> </w:t>
      </w:r>
      <w:r>
        <w:rPr/>
        <w:t>The administrative law judge in the Deerfield proceeding has not yet ruled upon Enron’s pending motions to dismiss.  Should Enron successfully dismiss all of the petitions opposing the air permit, then the legal fees associated with that proceeding would be significantly lower than as anticipated for a complete trial, as one would expect.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veyanceLine"/>
      <w:tabs>
        <w:tab w:val="clear" w:pos="5040"/>
      </w:tabs>
      <w:spacing w:before="0" w:after="0"/>
      <w:rPr/>
    </w:pPr>
    <w:r>
      <w:rPr/>
      <w:t>Kay Mann, Esq.</w:t>
    </w:r>
  </w:p>
  <w:p>
    <w:pPr>
      <w:pStyle w:val="Header"/>
      <w:rPr/>
    </w:pPr>
    <w:r>
      <w:rPr/>
      <w:t>August 14,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gtTLAUPref" w:val="0"/>
    <w:docVar w:name="gtTLDlgPref" w:val="Last page;24 points;Left;8;1;1;1;1;1;1;0"/>
    <w:docVar w:name="gtTLStatus" w:val="updateabl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720" w:leader="none"/>
        <w:tab w:val="left" w:pos="1440" w:leader="none"/>
        <w:tab w:val="left" w:pos="2160" w:leader="none"/>
        <w:tab w:val="left" w:pos="5040" w:leader="none"/>
      </w:tabs>
      <w:suppressAutoHyphens w:val="true"/>
      <w:bidi w:val="0"/>
      <w:jc w:val="both"/>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ind w:hanging="720" w:start="720" w:end="720"/>
      <w:outlineLvl w:val="0"/>
    </w:pPr>
    <w:rPr>
      <w:b/>
    </w:rPr>
  </w:style>
  <w:style w:type="paragraph" w:styleId="Heading2">
    <w:name w:val="heading 2"/>
    <w:basedOn w:val="Heading1"/>
    <w:next w:val="Normal"/>
    <w:qFormat/>
    <w:pPr>
      <w:numPr>
        <w:ilvl w:val="1"/>
        <w:numId w:val="1"/>
      </w:numPr>
      <w:ind w:hanging="720" w:start="1440" w:end="720"/>
      <w:outlineLvl w:val="1"/>
    </w:pPr>
    <w:rPr/>
  </w:style>
  <w:style w:type="paragraph" w:styleId="Heading9">
    <w:name w:val="heading 9"/>
    <w:basedOn w:val="Heading1"/>
    <w:next w:val="Normal"/>
    <w:qFormat/>
    <w:pPr>
      <w:numPr>
        <w:ilvl w:val="8"/>
        <w:numId w:val="1"/>
      </w:numPr>
      <w:ind w:hanging="720" w:start="1440" w:end="720"/>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rFonts w:ascii="Times New Roman" w:hAnsi="Times New Roman" w:cs="Times New Roman"/>
      <w:sz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tter">
    <w:name w:val="Letter"/>
    <w:basedOn w:val="Normal"/>
    <w:qFormat/>
    <w:pPr/>
    <w:rPr/>
  </w:style>
  <w:style w:type="paragraph" w:styleId="HeaderandFooter">
    <w:name w:val="Header and Footer"/>
    <w:basedOn w:val="Normal"/>
    <w:qFormat/>
    <w:pPr>
      <w:suppressLineNumbers/>
      <w:tabs>
        <w:tab w:val="clear" w:pos="720"/>
        <w:tab w:val="clear" w:pos="1440"/>
        <w:tab w:val="clear" w:pos="2160"/>
        <w:tab w:val="clear" w:pos="5040"/>
        <w:tab w:val="center" w:pos="4986" w:leader="none"/>
        <w:tab w:val="right" w:pos="9972" w:leader="none"/>
      </w:tabs>
    </w:pPr>
    <w:rPr/>
  </w:style>
  <w:style w:type="paragraph" w:styleId="Header">
    <w:name w:val="header"/>
    <w:basedOn w:val="Letter"/>
    <w:pPr/>
    <w:rPr/>
  </w:style>
  <w:style w:type="paragraph" w:styleId="Name1">
    <w:name w:val="Name1"/>
    <w:basedOn w:val="Normal"/>
    <w:qFormat/>
    <w:pPr>
      <w:tabs>
        <w:tab w:val="clear" w:pos="720"/>
        <w:tab w:val="clear" w:pos="1440"/>
        <w:tab w:val="clear" w:pos="2160"/>
        <w:tab w:val="clear" w:pos="5040"/>
        <w:tab w:val="center" w:pos="1296" w:leader="none"/>
      </w:tabs>
      <w:spacing w:before="800" w:after="0"/>
    </w:pPr>
    <w:rPr>
      <w:sz w:val="16"/>
    </w:rPr>
  </w:style>
  <w:style w:type="paragraph" w:styleId="Name2">
    <w:name w:val="Name2"/>
    <w:basedOn w:val="Name1"/>
    <w:qFormat/>
    <w:pPr>
      <w:spacing w:before="0" w:after="0"/>
    </w:pPr>
    <w:rPr/>
  </w:style>
  <w:style w:type="paragraph" w:styleId="Name3">
    <w:name w:val="Name3"/>
    <w:basedOn w:val="Name2"/>
    <w:qFormat/>
    <w:pPr/>
    <w:rPr>
      <w:sz w:val="12"/>
    </w:rPr>
  </w:style>
  <w:style w:type="paragraph" w:styleId="Sincerely">
    <w:name w:val="Sincerely"/>
    <w:basedOn w:val="Letter"/>
    <w:qFormat/>
    <w:pPr>
      <w:tabs>
        <w:tab w:val="clear" w:pos="1440"/>
        <w:tab w:val="clear" w:pos="2160"/>
        <w:tab w:val="left" w:pos="720" w:leader="none"/>
        <w:tab w:val="left" w:pos="5040" w:leader="none"/>
      </w:tabs>
    </w:pPr>
    <w:rPr/>
  </w:style>
  <w:style w:type="paragraph" w:styleId="FootnoteText">
    <w:name w:val="footnote text"/>
    <w:basedOn w:val="Normal"/>
    <w:pPr/>
    <w:rPr>
      <w:sz w:val="20"/>
    </w:rPr>
  </w:style>
  <w:style w:type="paragraph" w:styleId="Footer">
    <w:name w:val="footer"/>
    <w:basedOn w:val="Normal"/>
    <w:pPr/>
    <w:rPr/>
  </w:style>
  <w:style w:type="paragraph" w:styleId="ConveyanceLine">
    <w:name w:val="ConveyanceLine"/>
    <w:basedOn w:val="Normal"/>
    <w:next w:val="Normal"/>
    <w:qFormat/>
    <w:pPr>
      <w:tabs>
        <w:tab w:val="clear" w:pos="720"/>
        <w:tab w:val="clear" w:pos="1440"/>
        <w:tab w:val="clear" w:pos="2160"/>
        <w:tab w:val="left" w:pos="5040" w:leader="none"/>
      </w:tabs>
      <w:suppressAutoHyphens w:val="false"/>
      <w:overflowPunct w:val="false"/>
      <w:autoSpaceDE w:val="false"/>
      <w:spacing w:before="0" w:after="240"/>
      <w:jc w:val="start"/>
      <w:textAlignment w:val="baseline"/>
    </w:pPr>
    <w:rPr>
      <w:szCs w:val="20"/>
    </w:rPr>
  </w:style>
  <w:style w:type="paragraph" w:styleId="ReLine">
    <w:name w:val="ReLine"/>
    <w:basedOn w:val="Normal"/>
    <w:next w:val="Normal"/>
    <w:qFormat/>
    <w:pPr>
      <w:tabs>
        <w:tab w:val="clear" w:pos="720"/>
        <w:tab w:val="clear" w:pos="2160"/>
        <w:tab w:val="clear" w:pos="5040"/>
        <w:tab w:val="left" w:pos="1440" w:leader="none"/>
      </w:tabs>
      <w:suppressAutoHyphens w:val="false"/>
      <w:overflowPunct w:val="false"/>
      <w:autoSpaceDE w:val="false"/>
      <w:spacing w:before="240" w:after="0"/>
      <w:ind w:hanging="720" w:start="1440" w:end="0"/>
      <w:textAlignment w:val="baseline"/>
    </w:pPr>
    <w:rPr>
      <w:szCs w:val="20"/>
    </w:rPr>
  </w:style>
  <w:style w:type="paragraph" w:styleId="DearLine">
    <w:name w:val="DearLine"/>
    <w:basedOn w:val="Normal"/>
    <w:next w:val="Normal"/>
    <w:qFormat/>
    <w:pPr>
      <w:tabs>
        <w:tab w:val="clear" w:pos="720"/>
        <w:tab w:val="clear" w:pos="1440"/>
        <w:tab w:val="clear" w:pos="2160"/>
        <w:tab w:val="clear" w:pos="5040"/>
      </w:tabs>
      <w:suppressAutoHyphens w:val="false"/>
      <w:overflowPunct w:val="false"/>
      <w:autoSpaceDE w:val="false"/>
      <w:spacing w:before="240" w:after="240"/>
      <w:jc w:val="start"/>
      <w:textAlignment w:val="baseline"/>
    </w:pPr>
    <w:rPr>
      <w:szCs w:val="20"/>
    </w:rPr>
  </w:style>
  <w:style w:type="paragraph" w:styleId="SigLine">
    <w:name w:val="SigLine"/>
    <w:basedOn w:val="Normal"/>
    <w:next w:val="Normal"/>
    <w:qFormat/>
    <w:pPr>
      <w:tabs>
        <w:tab w:val="clear" w:pos="720"/>
        <w:tab w:val="clear" w:pos="1440"/>
        <w:tab w:val="clear" w:pos="2160"/>
        <w:tab w:val="left" w:pos="5040" w:leader="none"/>
      </w:tabs>
      <w:suppressAutoHyphens w:val="false"/>
      <w:overflowPunct w:val="false"/>
      <w:autoSpaceDE w:val="false"/>
      <w:spacing w:before="0" w:after="720"/>
      <w:jc w:val="start"/>
      <w:textAlignment w:val="baseline"/>
    </w:pPr>
    <w:rPr>
      <w:szCs w:val="20"/>
    </w:rPr>
  </w:style>
  <w:style w:type="paragraph" w:styleId="BottomLabel">
    <w:name w:val="BottomLabel"/>
    <w:basedOn w:val="Normal"/>
    <w:next w:val="Normal"/>
    <w:qFormat/>
    <w:pPr>
      <w:tabs>
        <w:tab w:val="clear" w:pos="720"/>
        <w:tab w:val="clear" w:pos="1440"/>
        <w:tab w:val="clear" w:pos="2160"/>
        <w:tab w:val="clear" w:pos="5040"/>
      </w:tabs>
      <w:suppressAutoHyphens w:val="false"/>
      <w:overflowPunct w:val="false"/>
      <w:autoSpaceDE w:val="false"/>
      <w:spacing w:before="240" w:after="0"/>
      <w:jc w:val="start"/>
      <w:textAlignment w:val="baseline"/>
    </w:pPr>
    <w:rPr>
      <w:szCs w:val="20"/>
    </w:rPr>
  </w:style>
  <w:style w:type="paragraph" w:styleId="BodyTextIndent">
    <w:name w:val="Body Text Indent"/>
    <w:basedOn w:val="Normal"/>
    <w:pPr>
      <w:tabs>
        <w:tab w:val="clear" w:pos="720"/>
        <w:tab w:val="clear" w:pos="1440"/>
        <w:tab w:val="clear" w:pos="2160"/>
        <w:tab w:val="clear" w:pos="5040"/>
      </w:tabs>
      <w:suppressAutoHyphens w:val="false"/>
      <w:overflowPunct w:val="false"/>
      <w:autoSpaceDE w:val="false"/>
      <w:spacing w:before="0" w:after="240"/>
      <w:ind w:firstLine="720" w:start="0" w:end="0"/>
      <w:textAlignment w:val="baseline"/>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KLB 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2001-08-16T12:38:00Z</dcterms:created>
  <dc:creator>shines</dc:creator>
  <dc:description/>
  <dc:language>en-CA</dc:language>
  <cp:lastModifiedBy>shines</cp:lastModifiedBy>
  <cp:lastPrinted>2001-08-14T12:30:00Z</cp:lastPrinted>
  <dcterms:modified xsi:type="dcterms:W3CDTF">2001-08-16T12:38:00Z</dcterms:modified>
  <cp:revision>2</cp:revision>
  <dc:subject/>
  <dc:title>SHELL/AJE LETTER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\\MIA-SRV01\BARSHK\1329791v01\S$2N01!.DOC\8/7/01\42292.011100</vt:lpwstr>
  </property>
</Properties>
</file>