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fldChar w:fldCharType="begin"/>
      </w:r>
      <w:r>
        <w:rPr>
          <w:sz w:val="22"/>
          <w:rFonts w:cs="Arial" w:ascii="Arial" w:hAnsi="Arial"/>
        </w:rPr>
        <w:instrText xml:space="preserve"> DATE \@"MMMM\ d', 'yyyy" </w:instrText>
      </w:r>
      <w:r>
        <w:rPr>
          <w:sz w:val="22"/>
          <w:rFonts w:cs="Arial" w:ascii="Arial" w:hAnsi="Arial"/>
        </w:rPr>
        <w:fldChar w:fldCharType="separate"/>
      </w:r>
      <w:r>
        <w:rPr>
          <w:sz w:val="22"/>
          <w:rFonts w:cs="Arial" w:ascii="Arial" w:hAnsi="Arial"/>
        </w:rPr>
        <w:t>September 28, 2025</w:t>
      </w:r>
      <w:r>
        <w:rPr>
          <w:sz w:val="22"/>
          <w:rFonts w:cs="Arial" w:ascii="Arial" w:hAnsi="Arial"/>
        </w:rPr>
        <w:fldChar w:fldCharType="end"/>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Heading1"/>
        <w:ind w:hanging="0" w:start="0"/>
        <w:rPr>
          <w:rFonts w:ascii="Arial" w:hAnsi="Arial" w:cs="Arial"/>
          <w:b/>
          <w:i/>
          <w:i/>
          <w:sz w:val="22"/>
        </w:rPr>
      </w:pPr>
      <w:r>
        <w:rPr>
          <w:rFonts w:cs="Arial" w:ascii="Arial" w:hAnsi="Arial"/>
          <w:b/>
          <w:i/>
          <w:sz w:val="22"/>
        </w:rPr>
        <w:t>VIA FACSIMILE NO. 212-801-4109</w:t>
      </w:r>
    </w:p>
    <w:p>
      <w:pPr>
        <w:pStyle w:val="Normal"/>
        <w:rPr>
          <w:rFonts w:ascii="Arial" w:hAnsi="Arial" w:cs="Arial"/>
          <w:b/>
          <w:i/>
          <w:i/>
          <w:sz w:val="22"/>
          <w:u w:val="single"/>
        </w:rPr>
      </w:pPr>
      <w:r>
        <w:rPr>
          <w:rFonts w:cs="Arial" w:ascii="Arial" w:hAnsi="Arial"/>
          <w:b/>
          <w:i/>
          <w:sz w:val="22"/>
          <w:u w:val="single"/>
        </w:rPr>
      </w:r>
    </w:p>
    <w:p>
      <w:pPr>
        <w:pStyle w:val="Normal"/>
        <w:rPr>
          <w:rFonts w:ascii="Arial" w:hAnsi="Arial" w:cs="Arial"/>
          <w:sz w:val="22"/>
        </w:rPr>
      </w:pPr>
      <w:r>
        <w:rPr>
          <w:rFonts w:cs="Arial" w:ascii="Arial" w:hAnsi="Arial"/>
          <w:sz w:val="22"/>
        </w:rPr>
        <w:t>Mr. Robert F. Klein</w:t>
      </w:r>
    </w:p>
    <w:p>
      <w:pPr>
        <w:pStyle w:val="Normal"/>
        <w:rPr>
          <w:rFonts w:ascii="Arial" w:hAnsi="Arial" w:cs="Arial"/>
          <w:sz w:val="22"/>
        </w:rPr>
      </w:pPr>
      <w:r>
        <w:rPr>
          <w:rFonts w:cs="Arial" w:ascii="Arial" w:hAnsi="Arial"/>
          <w:sz w:val="22"/>
        </w:rPr>
        <w:t>Salomon Smith Barney</w:t>
      </w:r>
    </w:p>
    <w:p>
      <w:pPr>
        <w:pStyle w:val="Normal"/>
        <w:rPr/>
      </w:pPr>
      <w:r>
        <w:rPr>
          <w:rFonts w:cs="Arial" w:ascii="Arial" w:hAnsi="Arial"/>
          <w:sz w:val="22"/>
        </w:rPr>
        <w:t>250 West Street, 10</w:t>
      </w:r>
      <w:r>
        <w:rPr>
          <w:rFonts w:cs="Arial" w:ascii="Arial" w:hAnsi="Arial"/>
          <w:sz w:val="22"/>
          <w:vertAlign w:val="superscript"/>
        </w:rPr>
        <w:t>th</w:t>
      </w:r>
      <w:r>
        <w:rPr>
          <w:rFonts w:cs="Arial" w:ascii="Arial" w:hAnsi="Arial"/>
          <w:sz w:val="22"/>
        </w:rPr>
        <w:t xml:space="preserve"> Floor</w:t>
      </w:r>
    </w:p>
    <w:p>
      <w:pPr>
        <w:pStyle w:val="Normal"/>
        <w:rPr>
          <w:rFonts w:ascii="Arial" w:hAnsi="Arial" w:cs="Arial"/>
          <w:sz w:val="22"/>
        </w:rPr>
      </w:pPr>
      <w:r>
        <w:rPr>
          <w:rFonts w:cs="Arial" w:ascii="Arial" w:hAnsi="Arial"/>
          <w:sz w:val="22"/>
        </w:rPr>
        <w:t>New York, NY 10013</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RE: EnronOnline/Salomon Smith Barney Comments of April 24,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Dear Mr. Klein:</w:t>
      </w:r>
    </w:p>
    <w:p>
      <w:pPr>
        <w:pStyle w:val="Normal"/>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Initially, please let me apologize for my delay in responding to your comments.  As you know, things tend to get busy and matters fall through the cracks when not being heavily pursued.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As to the comments you provided on the EnronOnline agreements, I have outlined Enron’s positions below in relation to the Password Application and Electronic Trading Agreement (ETA) and look forward to an opportunity to discuss them as necessary.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Initially, it must be understood that the ETA is an electronic agreement and all parties who transact on EnronOnline are required to “sign” this agreement electronically.  If any modifications are to be made to the ETA, they will be reflected in a side amendment letter to be signed by the parties.  With this in mind, my responses to your comments are as follows: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u w:val="single"/>
        </w:rPr>
      </w:pPr>
      <w:r>
        <w:rPr>
          <w:rFonts w:cs="Arial" w:ascii="Arial" w:hAnsi="Arial"/>
          <w:sz w:val="22"/>
          <w:u w:val="single"/>
        </w:rPr>
        <w:t>I.  Password Application – Second Paragraph:</w:t>
      </w:r>
    </w:p>
    <w:p>
      <w:pPr>
        <w:pStyle w:val="Normal"/>
        <w:jc w:val="both"/>
        <w:rPr>
          <w:rFonts w:ascii="Arial" w:hAnsi="Arial" w:cs="Arial"/>
          <w:sz w:val="22"/>
          <w:u w:val="single"/>
        </w:rPr>
      </w:pPr>
      <w:r>
        <w:rPr>
          <w:rFonts w:cs="Arial" w:ascii="Arial" w:hAnsi="Arial"/>
          <w:sz w:val="22"/>
          <w:u w:val="single"/>
        </w:rPr>
      </w:r>
    </w:p>
    <w:p>
      <w:pPr>
        <w:pStyle w:val="Normal"/>
        <w:jc w:val="both"/>
        <w:rPr>
          <w:rFonts w:ascii="Arial" w:hAnsi="Arial" w:cs="Arial"/>
          <w:sz w:val="22"/>
        </w:rPr>
      </w:pPr>
      <w:r>
        <w:rPr>
          <w:rFonts w:cs="Arial" w:ascii="Arial" w:hAnsi="Arial"/>
          <w:sz w:val="22"/>
        </w:rPr>
        <w:t>These changes are unacceptable.  No modifications to the Password Application will be made.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u w:val="single"/>
        </w:rPr>
        <w:t>II.  Electronic Trading Agreement: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  Paragraph 1 – As indicated above, the ETA is required to be an electronic agreement.  Further, it is not possible for Enron to ensure that written notice or copies of information posted to the web site can be provided to all counterparties.  Posting on the web site allows for the broadest distribution of the materials applicable to the access and use of the web site.    Accordingly, all changes proposed in this paragraph are unacceptable and will not be incorporated.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Mr. Robert F. Klein</w:t>
      </w:r>
    </w:p>
    <w:p>
      <w:pPr>
        <w:pStyle w:val="Normal"/>
        <w:jc w:val="both"/>
        <w:rPr>
          <w:rFonts w:ascii="Arial" w:hAnsi="Arial" w:cs="Arial"/>
          <w:sz w:val="22"/>
        </w:rPr>
      </w:pPr>
      <w:r>
        <w:rPr>
          <w:rFonts w:cs="Arial" w:ascii="Arial" w:hAnsi="Arial"/>
          <w:sz w:val="22"/>
        </w:rPr>
        <w:t>May 30, 2001</w:t>
      </w:r>
    </w:p>
    <w:p>
      <w:pPr>
        <w:pStyle w:val="Normal"/>
        <w:jc w:val="both"/>
        <w:rPr>
          <w:rFonts w:ascii="Arial" w:hAnsi="Arial" w:cs="Arial"/>
          <w:sz w:val="22"/>
        </w:rPr>
      </w:pPr>
      <w:r>
        <w:rPr>
          <w:rFonts w:cs="Arial" w:ascii="Arial" w:hAnsi="Arial"/>
          <w:sz w:val="22"/>
        </w:rPr>
        <w:t>Page 2</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  Paragraph 2(a) – These changes are unacceptable and will not be made.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  Paragraph 2(b) – The changes relating to the addition of the words “and agreed to by Counterparty” and deletion of the provision relating to Solomon providing information to Enron are unacceptable and will not be made.  As to the addition of the words “, subject to the provisions of Section 6, below,” this change is acceptable; however, I believe the reference to Section 6 should be to Section 5.</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  Paragraph 2(c) -  This change is acceptable and can be made.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  Paragraph 2(d) – The deletion of this paragraph is unacceptable and will not be made.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F.  Paragraph 2(e) – These changes are unacceptable and will not be made.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G. Paragraph 2(g) – Since EnronOnline is a free service provided to Enron counterparties, Solomon is free to use the web site or not.  EnronOnline will make no warranties as to the web site other than as provided in the ETA or other online documents.  Accordingly, these changes are unacceptable and will not be made.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H.  Paragraph 3(e) – Please remember that the ETA is an agreement between Solomon and EnronOnline outlining Solomon’s access to and use of the web site.  It is not intended to be an operative agreement between Solomon and the Enron counterparty with whom Solomon will be entering into “Transactions.”  Accordingly, any confirmation sent by or provided by EnronOnline is intended to confirm actions taken within the web site and will control as to these actions.  Any confirmation required by the master agreement or GTC’s (if applicable), will still be valid between Solomon and the applicable Enron trading entity with whom Solomon maintains the master agreement or GTC’s.  Therefore, the change proposed in this paragraph is unacceptable and will not be made.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  Paragraphs 4(a) and (b) – The changes proposed are unacceptable and will not be made.  Enron does, however, have provisions that can be added to these paragraphs to address some of the concerns raised by Solomon.  These provisions are as follows:</w:t>
      </w:r>
    </w:p>
    <w:p>
      <w:pPr>
        <w:pStyle w:val="Normal"/>
        <w:ind w:start="360" w:end="0"/>
        <w:jc w:val="both"/>
        <w:rPr>
          <w:rFonts w:ascii="Arial" w:hAnsi="Arial" w:cs="Arial"/>
          <w:color w:val="000000"/>
          <w:sz w:val="22"/>
        </w:rPr>
      </w:pPr>
      <w:r>
        <w:rPr>
          <w:rFonts w:cs="Arial" w:ascii="Arial" w:hAnsi="Arial"/>
          <w:color w:val="000000"/>
          <w:sz w:val="22"/>
        </w:rPr>
      </w:r>
    </w:p>
    <w:p>
      <w:pPr>
        <w:pStyle w:val="Normal"/>
        <w:ind w:start="432" w:end="432"/>
        <w:jc w:val="both"/>
        <w:rPr>
          <w:rFonts w:ascii="Arial" w:hAnsi="Arial" w:cs="Arial"/>
          <w:sz w:val="22"/>
        </w:rPr>
      </w:pPr>
      <w:r>
        <w:rPr>
          <w:rFonts w:cs="Arial" w:ascii="Arial" w:hAnsi="Arial"/>
          <w:sz w:val="22"/>
        </w:rPr>
        <w:t>(i) The second sentence of Paragraph 4(a) will be deleted and replaced with the following:</w:t>
      </w:r>
    </w:p>
    <w:p>
      <w:pPr>
        <w:pStyle w:val="Normal"/>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t xml:space="preserve">EXCEPT IN CONNECTION WITH CLAIMS ARISING UNDER SECTION 4(b), NEITHER PARTY WILL BE LIABLE TO THE OTHER PARTY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THE WEBSITE OR ANY </w:t>
      </w:r>
    </w:p>
    <w:p>
      <w:pPr>
        <w:pStyle w:val="Normal"/>
        <w:ind w:end="720"/>
        <w:jc w:val="both"/>
        <w:rPr>
          <w:rFonts w:ascii="Arial" w:hAnsi="Arial" w:cs="Arial"/>
          <w:sz w:val="22"/>
        </w:rPr>
      </w:pPr>
      <w:r>
        <w:rPr>
          <w:rFonts w:cs="Arial" w:ascii="Arial" w:hAnsi="Arial"/>
          <w:sz w:val="22"/>
        </w:rPr>
        <w:t>Mr. Robert F. Klein</w:t>
      </w:r>
    </w:p>
    <w:p>
      <w:pPr>
        <w:pStyle w:val="Normal"/>
        <w:ind w:end="720"/>
        <w:jc w:val="both"/>
        <w:rPr>
          <w:rFonts w:ascii="Arial" w:hAnsi="Arial" w:cs="Arial"/>
          <w:sz w:val="22"/>
        </w:rPr>
      </w:pPr>
      <w:r>
        <w:rPr>
          <w:rFonts w:cs="Arial" w:ascii="Arial" w:hAnsi="Arial"/>
          <w:sz w:val="22"/>
        </w:rPr>
        <w:t>May 30, 2001</w:t>
      </w:r>
    </w:p>
    <w:p>
      <w:pPr>
        <w:pStyle w:val="Normal"/>
        <w:ind w:end="720"/>
        <w:jc w:val="both"/>
        <w:rPr>
          <w:rFonts w:ascii="Arial" w:hAnsi="Arial" w:cs="Arial"/>
          <w:sz w:val="22"/>
        </w:rPr>
      </w:pPr>
      <w:r>
        <w:rPr>
          <w:rFonts w:cs="Arial" w:ascii="Arial" w:hAnsi="Arial"/>
          <w:sz w:val="22"/>
        </w:rPr>
        <w:t>Page 3</w:t>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t>INFORMATION ON IT, EVEN IF SUCH PARTY HAS BEEN ADVISED OF THE POSSIBILITY OF SUCH DAMAGES.</w:t>
      </w:r>
    </w:p>
    <w:p>
      <w:pPr>
        <w:pStyle w:val="Normal"/>
        <w:rPr>
          <w:rFonts w:ascii="Arial" w:hAnsi="Arial" w:cs="Arial"/>
          <w:sz w:val="22"/>
        </w:rPr>
      </w:pPr>
      <w:r>
        <w:rPr>
          <w:rFonts w:cs="Arial" w:ascii="Arial" w:hAnsi="Arial"/>
          <w:sz w:val="22"/>
        </w:rPr>
      </w:r>
    </w:p>
    <w:p>
      <w:pPr>
        <w:pStyle w:val="Normal"/>
        <w:ind w:start="432" w:end="432"/>
        <w:jc w:val="both"/>
        <w:rPr>
          <w:rFonts w:ascii="Arial" w:hAnsi="Arial" w:cs="Arial"/>
          <w:sz w:val="22"/>
        </w:rPr>
      </w:pPr>
      <w:r>
        <w:rPr>
          <w:rFonts w:cs="Arial" w:ascii="Arial" w:hAnsi="Arial"/>
          <w:sz w:val="22"/>
        </w:rPr>
        <w:t>(ii) Paragraphs 4(b)(ii) and 4(b) (iii) will be deleted and replaced with the following:</w:t>
      </w:r>
    </w:p>
    <w:p>
      <w:pPr>
        <w:pStyle w:val="Normal"/>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t>…</w:t>
      </w:r>
      <w:r>
        <w:rPr>
          <w:rFonts w:cs="Arial" w:ascii="Arial" w:hAnsi="Arial"/>
          <w:sz w:val="22"/>
        </w:rPr>
        <w:t>(ii) any act or omission by any person (other than by hackers who have not obtained the Passwords from or through Counterparty) obtaining access to the Website through the Passwords (as defined in the Password Application), whether or not Counterparty has authorized such access, and/obtaining access, and/or (iii) any actions taken or not taken by Counterparty as a result of or based on its access to or utilization of the Website, unless such access, entry or action taken or not taken arises from acts or omissions of Enron and its directors, officers, employees, agents or contractors.</w:t>
      </w:r>
    </w:p>
    <w:p>
      <w:pPr>
        <w:pStyle w:val="Normal"/>
        <w:ind w:start="720" w:end="720"/>
        <w:jc w:val="both"/>
        <w:rPr>
          <w:rFonts w:ascii="Arial" w:hAnsi="Arial" w:cs="Arial"/>
          <w:sz w:val="22"/>
        </w:rPr>
      </w:pPr>
      <w:r>
        <w:rPr>
          <w:rFonts w:cs="Arial" w:ascii="Arial" w:hAnsi="Arial"/>
          <w:sz w:val="22"/>
        </w:rPr>
      </w:r>
    </w:p>
    <w:p>
      <w:pPr>
        <w:pStyle w:val="Normal"/>
        <w:ind w:start="432" w:end="720"/>
        <w:jc w:val="both"/>
        <w:rPr>
          <w:rFonts w:ascii="Arial" w:hAnsi="Arial" w:cs="Arial"/>
          <w:sz w:val="22"/>
        </w:rPr>
      </w:pPr>
      <w:r>
        <w:rPr>
          <w:rFonts w:cs="Arial" w:ascii="Arial" w:hAnsi="Arial"/>
          <w:sz w:val="22"/>
        </w:rPr>
        <w:t>(iii) The following clause is inserted as clause 4(c):</w:t>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t>(c) The limitation of liability and indemnities provided in this Section 4 are not intended to extend to liabilities of or Claims against the Enron entity that is the party to a Transaction resulting from the terms of a Transaction executed via the Website, but instead the liabilities and indemnification obligations of each of Solomon Smith Barney and the Enron entity that is a party to the relevant Transaction shall be as provided in the master agreement or GTC governing such Transaction.</w:t>
      </w:r>
    </w:p>
    <w:p>
      <w:pPr>
        <w:pStyle w:val="Normal"/>
        <w:ind w:start="720" w:end="720"/>
        <w:jc w:val="both"/>
        <w:rPr>
          <w:rFonts w:ascii="Arial" w:hAnsi="Arial" w:cs="Arial"/>
          <w:sz w:val="22"/>
        </w:rPr>
      </w:pPr>
      <w:r>
        <w:rPr>
          <w:rFonts w:cs="Arial" w:ascii="Arial" w:hAnsi="Arial"/>
          <w:sz w:val="22"/>
        </w:rPr>
      </w:r>
    </w:p>
    <w:p>
      <w:pPr>
        <w:pStyle w:val="Normal"/>
        <w:ind w:start="288" w:end="720"/>
        <w:jc w:val="both"/>
        <w:rPr>
          <w:rFonts w:ascii="Arial" w:hAnsi="Arial" w:cs="Arial"/>
          <w:sz w:val="22"/>
        </w:rPr>
      </w:pPr>
      <w:r>
        <w:rPr>
          <w:rFonts w:cs="Arial" w:ascii="Arial" w:hAnsi="Arial"/>
          <w:sz w:val="22"/>
        </w:rPr>
        <w:t>(iv) The following clause is inserted as clause 4(d):</w:t>
      </w:r>
    </w:p>
    <w:p>
      <w:pPr>
        <w:pStyle w:val="Normal"/>
        <w:ind w:start="720" w:end="720"/>
        <w:jc w:val="both"/>
        <w:rPr>
          <w:rFonts w:ascii="Arial" w:hAnsi="Arial" w:cs="Arial"/>
          <w:sz w:val="22"/>
        </w:rPr>
      </w:pPr>
      <w:r>
        <w:rPr>
          <w:rFonts w:cs="Arial" w:ascii="Arial" w:hAnsi="Arial"/>
          <w:sz w:val="22"/>
        </w:rPr>
      </w:r>
    </w:p>
    <w:p>
      <w:pPr>
        <w:pStyle w:val="Normal"/>
        <w:ind w:start="720" w:end="720"/>
        <w:jc w:val="both"/>
        <w:rPr>
          <w:rFonts w:ascii="Arial" w:hAnsi="Arial" w:cs="Arial"/>
          <w:sz w:val="22"/>
        </w:rPr>
      </w:pPr>
      <w:r>
        <w:rPr>
          <w:rFonts w:cs="Arial" w:ascii="Arial" w:hAnsi="Arial"/>
          <w:sz w:val="22"/>
        </w:rPr>
        <w:t>(d) The limitation of liability, indemnities, limitation of remedies and exclusion of warranties set forth in this Agreement do not apply to any agreement or Transaction entered into or which may be entered into between Enron and Counterparty which are not entered into through the Website.</w:t>
      </w:r>
    </w:p>
    <w:p>
      <w:pPr>
        <w:pStyle w:val="Normal"/>
        <w:ind w:start="720" w:end="720"/>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J.  Paragraph 5(c) – The change proposed for this paragraph is acceptable.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K.  Paragraph 6(a) – The changes proposed are unacceptable and will not be made.  Since there is no fee associated with the use of the web site or requirement of use, Solomon can terminate its use of the web site simply by not using it.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L.  Paragraph 6(b) – The changes proposed are unacceptable and will not be made.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M.  Insert D – Because of the electronic nature of the ETA, this insert is unacceptable and will not be incorporated.</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Mr. Robert F. Klein</w:t>
      </w:r>
    </w:p>
    <w:p>
      <w:pPr>
        <w:pStyle w:val="Normal"/>
        <w:jc w:val="both"/>
        <w:rPr>
          <w:rFonts w:ascii="Arial" w:hAnsi="Arial" w:cs="Arial"/>
          <w:sz w:val="22"/>
        </w:rPr>
      </w:pPr>
      <w:r>
        <w:rPr>
          <w:rFonts w:cs="Arial" w:ascii="Arial" w:hAnsi="Arial"/>
          <w:sz w:val="22"/>
        </w:rPr>
        <w:t>May 30, 2001</w:t>
      </w:r>
    </w:p>
    <w:p>
      <w:pPr>
        <w:pStyle w:val="Normal"/>
        <w:jc w:val="both"/>
        <w:rPr>
          <w:rFonts w:ascii="Arial" w:hAnsi="Arial" w:cs="Arial"/>
          <w:sz w:val="22"/>
        </w:rPr>
      </w:pPr>
      <w:r>
        <w:rPr>
          <w:rFonts w:cs="Arial" w:ascii="Arial" w:hAnsi="Arial"/>
          <w:sz w:val="22"/>
        </w:rPr>
        <w:t>Page 4</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I realize that a vast majority of the comments made by Solomon have been rejected.  However, please keep in mind that the web site is provided as a free site to any counterparty wishing to use it and, in the absence of its use, there is no prohibition on continuing to conduct trading activities with Enron trading companies in traditional fashion (e.g., telephone, facsimile, etc.).  </w:t>
      </w:r>
    </w:p>
    <w:p>
      <w:pPr>
        <w:pStyle w:val="Normal"/>
        <w:ind w:start="720" w:end="720"/>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If you wish to discuss these matters further, please do not hesitate to call me.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Thanks again for your patience concerning this matter.</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ab/>
        <w:tab/>
        <w:tab/>
        <w:tab/>
        <w:tab/>
        <w:tab/>
        <w:t>Very truly yours,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eastAsia="Arial" w:cs="Arial"/>
          <w:sz w:val="22"/>
        </w:rPr>
      </w:pPr>
      <w:r>
        <w:rPr>
          <w:rFonts w:eastAsia="Arial" w:cs="Arial" w:ascii="Arial" w:hAnsi="Arial"/>
          <w:sz w:val="22"/>
        </w:rPr>
        <w:t xml:space="preserve">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 T. Jones (via electronic mail)</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/mnt/main-storage/datasets/enron-docs/doc/ltr_smithbarney_5_30_01_.doc</w:t>
    </w:r>
    <w:r>
      <w:rPr>
        <w:sz w:val="12"/>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color w:val="000000"/>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2001-05-30T12:35:00Z</dcterms:created>
  <dc:creator>jdavis5</dc:creator>
  <dc:description/>
  <dc:language>en-CA</dc:language>
  <cp:lastModifiedBy>mgreenbe</cp:lastModifiedBy>
  <cp:lastPrinted>2001-05-30T11:10:00Z</cp:lastPrinted>
  <dcterms:modified xsi:type="dcterms:W3CDTF">2001-05-30T13:41:00Z</dcterms:modified>
  <cp:revision>5</cp:revision>
  <dc:subject/>
  <dc:title>May 14, 1999</dc:title>
</cp:coreProperties>
</file>