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fldChar w:fldCharType="begin"/>
      </w:r>
      <w:r>
        <w:rPr>
          <w:sz w:val="22"/>
          <w:rFonts w:cs="Arial" w:ascii="Arial" w:hAnsi="Arial"/>
        </w:rPr>
        <w:instrText xml:space="preserve"> DATE \@"MMMM\ d', 'yyyy" </w:instrText>
      </w:r>
      <w:r>
        <w:rPr>
          <w:sz w:val="22"/>
          <w:rFonts w:cs="Arial" w:ascii="Arial" w:hAnsi="Arial"/>
        </w:rPr>
        <w:fldChar w:fldCharType="separate"/>
      </w:r>
      <w:r>
        <w:rPr>
          <w:sz w:val="22"/>
          <w:rFonts w:cs="Arial" w:ascii="Arial" w:hAnsi="Arial"/>
        </w:rPr>
        <w:t>September 28, 2025</w:t>
      </w:r>
      <w:r>
        <w:rPr>
          <w:sz w:val="22"/>
          <w:rFonts w:cs="Arial" w:ascii="Arial" w:hAnsi="Arial"/>
        </w:rPr>
        <w:fldChar w:fldCharType="end"/>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1"/>
        <w:ind w:hanging="0" w:start="0"/>
        <w:rPr>
          <w:rFonts w:ascii="Arial" w:hAnsi="Arial" w:cs="Arial"/>
          <w:b/>
          <w:i/>
          <w:i/>
          <w:sz w:val="22"/>
        </w:rPr>
      </w:pPr>
      <w:r>
        <w:rPr>
          <w:rFonts w:cs="Arial" w:ascii="Arial" w:hAnsi="Arial"/>
          <w:b/>
          <w:i/>
          <w:sz w:val="22"/>
        </w:rPr>
        <w:t>VIA FACSIMILE NO. 212-469-8172</w:t>
      </w:r>
    </w:p>
    <w:p>
      <w:pPr>
        <w:pStyle w:val="Normal"/>
        <w:rPr>
          <w:rFonts w:ascii="Arial" w:hAnsi="Arial" w:cs="Arial"/>
          <w:b/>
          <w:i/>
          <w:i/>
          <w:sz w:val="22"/>
          <w:u w:val="single"/>
        </w:rPr>
      </w:pPr>
      <w:r>
        <w:rPr>
          <w:rFonts w:cs="Arial" w:ascii="Arial" w:hAnsi="Arial"/>
          <w:b/>
          <w:i/>
          <w:sz w:val="22"/>
          <w:u w:val="single"/>
        </w:rPr>
      </w:r>
    </w:p>
    <w:p>
      <w:pPr>
        <w:pStyle w:val="Normal"/>
        <w:rPr>
          <w:rFonts w:ascii="Arial" w:hAnsi="Arial" w:cs="Arial"/>
          <w:sz w:val="22"/>
        </w:rPr>
      </w:pPr>
      <w:r>
        <w:rPr>
          <w:rFonts w:cs="Arial" w:ascii="Arial" w:hAnsi="Arial"/>
          <w:sz w:val="22"/>
        </w:rPr>
        <w:t>Mr. Alex T. Alexander</w:t>
      </w:r>
    </w:p>
    <w:p>
      <w:pPr>
        <w:pStyle w:val="Normal"/>
        <w:rPr>
          <w:rFonts w:ascii="Arial" w:hAnsi="Arial" w:cs="Arial"/>
          <w:sz w:val="22"/>
        </w:rPr>
      </w:pPr>
      <w:r>
        <w:rPr>
          <w:rFonts w:cs="Arial" w:ascii="Arial" w:hAnsi="Arial"/>
          <w:sz w:val="22"/>
        </w:rPr>
        <w:t>Deutsche Bank AG New York</w:t>
      </w:r>
    </w:p>
    <w:p>
      <w:pPr>
        <w:pStyle w:val="Normal"/>
        <w:rPr>
          <w:rFonts w:ascii="Arial" w:hAnsi="Arial" w:cs="Arial"/>
          <w:sz w:val="22"/>
        </w:rPr>
      </w:pPr>
      <w:r>
        <w:rPr>
          <w:rFonts w:cs="Arial" w:ascii="Arial" w:hAnsi="Arial"/>
          <w:sz w:val="22"/>
        </w:rPr>
        <w:t>Legal Division</w:t>
      </w:r>
    </w:p>
    <w:p>
      <w:pPr>
        <w:pStyle w:val="Normal"/>
        <w:rPr/>
      </w:pPr>
      <w:r>
        <w:rPr>
          <w:rFonts w:cs="Arial" w:ascii="Arial" w:hAnsi="Arial"/>
          <w:sz w:val="22"/>
        </w:rPr>
        <w:t>31 West 52</w:t>
      </w:r>
      <w:r>
        <w:rPr>
          <w:rFonts w:cs="Arial" w:ascii="Arial" w:hAnsi="Arial"/>
          <w:sz w:val="22"/>
          <w:vertAlign w:val="superscript"/>
        </w:rPr>
        <w:t>nd</w:t>
      </w:r>
      <w:r>
        <w:rPr>
          <w:rFonts w:cs="Arial" w:ascii="Arial" w:hAnsi="Arial"/>
          <w:sz w:val="22"/>
        </w:rPr>
        <w:t xml:space="preserve"> Street</w:t>
      </w:r>
    </w:p>
    <w:p>
      <w:pPr>
        <w:pStyle w:val="Normal"/>
        <w:rPr>
          <w:rFonts w:ascii="Arial" w:hAnsi="Arial" w:cs="Arial"/>
          <w:sz w:val="22"/>
        </w:rPr>
      </w:pPr>
      <w:r>
        <w:rPr>
          <w:rFonts w:cs="Arial" w:ascii="Arial" w:hAnsi="Arial"/>
          <w:sz w:val="22"/>
        </w:rPr>
        <w:t>New York, NY 10019</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RE: EnronOnline/Deutsche Bank Comments of April 6,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Alex:</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Initially, please let me apologize for my delay in responding to your comments.  As you know, things tend to get busy and matters fall through the cracks when not being heavily pursued.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As to the comments you provided on the EnronOnline agreements, I have outlined Enron’s positions below in relation to the Password Application and Electronic Trading Agreement and look forward to an opportunity to discuss them.  These comments are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u w:val="single"/>
        </w:rPr>
      </w:pPr>
      <w:r>
        <w:rPr>
          <w:rFonts w:cs="Arial" w:ascii="Arial" w:hAnsi="Arial"/>
          <w:sz w:val="22"/>
          <w:u w:val="single"/>
        </w:rPr>
        <w:t>I.  Password Application:</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A.  First Paragraph:</w:t>
      </w:r>
    </w:p>
    <w:p>
      <w:pPr>
        <w:pStyle w:val="Normal"/>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1.  The changes in relation to the relationship between EnronOnline and its affiliates will not be modified.</w:t>
      </w:r>
    </w:p>
    <w:p>
      <w:pPr>
        <w:pStyle w:val="Normal"/>
        <w:ind w:start="432" w:end="432"/>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2.  The insertion of the words “over-the counter” are acceptable.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Second Paragraph:</w:t>
      </w:r>
    </w:p>
    <w:p>
      <w:pPr>
        <w:pStyle w:val="Normal"/>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1.  The changes proposed to the first and second lines are acceptable.</w:t>
      </w:r>
    </w:p>
    <w:p>
      <w:pPr>
        <w:pStyle w:val="Normal"/>
        <w:ind w:start="432" w:end="432"/>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2.  The following changes made to subsection (2) will be handled in the following manner:</w:t>
      </w:r>
    </w:p>
    <w:p>
      <w:pPr>
        <w:pStyle w:val="Normal"/>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 xml:space="preserve">a.  The addition of the words “employed by it or any of its affiliates” – this is unacceptable and will not be added.  As indicated in prior correspondence, DB is </w:t>
      </w:r>
    </w:p>
    <w:p>
      <w:pPr>
        <w:pStyle w:val="Normal"/>
        <w:ind w:end="720"/>
        <w:jc w:val="both"/>
        <w:rPr>
          <w:rFonts w:ascii="Arial" w:hAnsi="Arial" w:cs="Arial"/>
          <w:sz w:val="22"/>
        </w:rPr>
      </w:pPr>
      <w:r>
        <w:rPr>
          <w:rFonts w:cs="Arial" w:ascii="Arial" w:hAnsi="Arial"/>
          <w:sz w:val="22"/>
        </w:rPr>
        <w:t>Mr. Alex T. Alexander</w:t>
      </w:r>
    </w:p>
    <w:p>
      <w:pPr>
        <w:pStyle w:val="Normal"/>
        <w:ind w:end="720"/>
        <w:jc w:val="both"/>
        <w:rPr>
          <w:rFonts w:ascii="Arial" w:hAnsi="Arial" w:cs="Arial"/>
          <w:sz w:val="22"/>
        </w:rPr>
      </w:pPr>
      <w:r>
        <w:rPr>
          <w:rFonts w:cs="Arial" w:ascii="Arial" w:hAnsi="Arial"/>
          <w:sz w:val="22"/>
        </w:rPr>
        <w:t>May 22, 2001</w:t>
      </w:r>
    </w:p>
    <w:p>
      <w:pPr>
        <w:pStyle w:val="Normal"/>
        <w:ind w:end="720"/>
        <w:jc w:val="both"/>
        <w:rPr>
          <w:rFonts w:ascii="Arial" w:hAnsi="Arial" w:cs="Arial"/>
          <w:sz w:val="22"/>
        </w:rPr>
      </w:pPr>
      <w:r>
        <w:rPr>
          <w:rFonts w:cs="Arial" w:ascii="Arial" w:hAnsi="Arial"/>
          <w:sz w:val="22"/>
        </w:rPr>
        <w:t>Page 2</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to be responsible for the use of the passwords and id’s it issues, except where Enron may have some direct responsibility (e.g., an Enron employee uses them to the damage of DB).  Otherwise, DB is responsible.</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b.  The addition of the words “or its affiliates” – this is unacceptable.  The PA is intended to be the “application” submitted by the entity who will be transacting on-line.  If different legal entities are contemplated, separate PA’s (and ETA’s) will be required for each such entity.</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c.  The addition of the words “in accordance with its customary policies” is acceptable.</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d.  The addition of the words “when it actually knows” is acceptable.</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e.  The addition of the words “or countries” is unacceptable.  Please see Item (b) above.</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f.  The change from “is situated” to “operates” is acceptable as long as it is understood that the use of the Website beyond the country indicated in the PA is strictly prohibited.</w:t>
      </w:r>
    </w:p>
    <w:p>
      <w:pPr>
        <w:pStyle w:val="Normal"/>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3.  The addition of the words “until receipt by Enron from the Counterparty of any change to such information” is acceptable.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Signature Block – The change proposed here is unacceptable and will not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u w:val="single"/>
        </w:rPr>
        <w:t>II.  Electronic Trading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  Paragraph 1 – All changes proposed are acceptable.  Language clarifying the exact information relative to the recently signed ISDA will be incorporated and a definition will be used to identify this agreement so that it can be identified in other places within the ETA.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Paragraph 2(a)  – The first two changes proposed are acceptable.  The addition of the words “(and at Enron’s expense)” are not acceptable and will not be added.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Paragraph 2(b) – The deletion of the words “and its” and the addition of the words “but not in contravention of the Section 5 hereof,” are both acceptable.  No other changes will be made to this paragraph.</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Paragraph 2(d) – Punctuation revisions are acceptable.  No other changes will be made to this paragraph.</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  Paragraph 2(e) – The change proposed here is acceptable.</w:t>
      </w:r>
    </w:p>
    <w:p>
      <w:pPr>
        <w:pStyle w:val="Normal"/>
        <w:jc w:val="both"/>
        <w:rPr>
          <w:rFonts w:ascii="Arial" w:hAnsi="Arial" w:cs="Arial"/>
          <w:sz w:val="22"/>
        </w:rPr>
      </w:pPr>
      <w:r>
        <w:rPr>
          <w:rFonts w:cs="Arial" w:ascii="Arial" w:hAnsi="Arial"/>
          <w:sz w:val="22"/>
        </w:rPr>
      </w:r>
    </w:p>
    <w:p>
      <w:pPr>
        <w:pStyle w:val="Normal"/>
        <w:ind w:end="720"/>
        <w:jc w:val="both"/>
        <w:rPr>
          <w:rFonts w:ascii="Arial" w:hAnsi="Arial" w:cs="Arial"/>
          <w:sz w:val="22"/>
        </w:rPr>
      </w:pPr>
      <w:r>
        <w:rPr>
          <w:rFonts w:cs="Arial" w:ascii="Arial" w:hAnsi="Arial"/>
          <w:sz w:val="22"/>
        </w:rPr>
        <w:t>Mr. Alex T. Alexander</w:t>
      </w:r>
    </w:p>
    <w:p>
      <w:pPr>
        <w:pStyle w:val="Normal"/>
        <w:ind w:end="720"/>
        <w:jc w:val="both"/>
        <w:rPr>
          <w:rFonts w:ascii="Arial" w:hAnsi="Arial" w:cs="Arial"/>
          <w:sz w:val="22"/>
        </w:rPr>
      </w:pPr>
      <w:r>
        <w:rPr>
          <w:rFonts w:cs="Arial" w:ascii="Arial" w:hAnsi="Arial"/>
          <w:sz w:val="22"/>
        </w:rPr>
        <w:t>May 22, 2001</w:t>
      </w:r>
    </w:p>
    <w:p>
      <w:pPr>
        <w:pStyle w:val="Normal"/>
        <w:ind w:end="720"/>
        <w:jc w:val="both"/>
        <w:rPr>
          <w:rFonts w:ascii="Arial" w:hAnsi="Arial" w:cs="Arial"/>
          <w:sz w:val="22"/>
        </w:rPr>
      </w:pPr>
      <w:r>
        <w:rPr>
          <w:rFonts w:cs="Arial" w:ascii="Arial" w:hAnsi="Arial"/>
          <w:sz w:val="22"/>
        </w:rPr>
        <w:t>Page 3</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F.  Paragraph 2(g) – The changes proposed are unacceptable and will not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  Paragraph 3(a) – The provisions of this paragraph will be revised as follows:</w:t>
      </w:r>
    </w:p>
    <w:p>
      <w:pPr>
        <w:pStyle w:val="Normal"/>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to the products which are the subject matter of the relevant Transaction, the Master Agreement; provided, that, if the Master Agreement is not in effect as of the date of the execution of any Transaction, that Transaction shall be subject to the terms and conditions (including “General Terms and Conditions” or “GTCs”) established by Enron, which are then in effect with respect to such Transaction and are (i) posted on the Website or (ii) otherwise reflected in a written agreement between parties in respect of the products which are the subject matter of the relevant Transaction.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H.  Paragraph 3(d) – The provisions of this paragraph will be revised as follows:</w:t>
      </w:r>
    </w:p>
    <w:p>
      <w:pPr>
        <w:pStyle w:val="Normal"/>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Each Transaction entered into by Counterparty through the Website will be executed with the Enron entity that is a party to the Master Agreement or, if the Master Agreement is not then in effect, the Enron entity identified on the GTCs applicable to such Transaction and posted on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 Paragraph 3(e) – The provisions of this paragraph will be revised as follows:</w:t>
      </w:r>
    </w:p>
    <w:p>
      <w:pPr>
        <w:pStyle w:val="Normal"/>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Enron may furnish Counterparty with a confirmation of each Transaction executed through the Website, which confirmation shall be valid and binding on Counterparty solely in relation to the actions taken by Counterparty within the Website, unless objected to within three business days of the date of transmission thereof.  In the event of a conflict between the terms of this Agreement, the Master Agreement, the GTSs (if then applicable) and the terms of the confirmation, the confirmation shall control as to the actions undertaken by Counterparty within the Website.  Nothing in this paragraph shall be deemed to replace or supplement any responsibility Counterparty and the applicable Enron trading entity may be obligated to perform in relation to confirmation of Transactions in accordance with the terms of the Master Agreement, unless the Master Agreement states otherwise.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J.  Paragraphs 4(a) and (b)  – The changes to these paragraphs will be as follows:</w:t>
      </w:r>
    </w:p>
    <w:p>
      <w:pPr>
        <w:pStyle w:val="Normal"/>
        <w:jc w:val="both"/>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eastAsia="Arial" w:cs="Arial" w:ascii="Arial" w:hAnsi="Arial"/>
          <w:sz w:val="22"/>
        </w:rPr>
        <w:t xml:space="preserve"> </w:t>
      </w:r>
      <w:r>
        <w:rPr>
          <w:rFonts w:cs="Arial" w:ascii="Arial" w:hAnsi="Arial"/>
          <w:sz w:val="22"/>
        </w:rPr>
        <w:t>(a) The second sentence of Paragraph 4(a) will be deleted and replaced with the following:</w:t>
      </w:r>
    </w:p>
    <w:p>
      <w:pPr>
        <w:pStyle w:val="Normal"/>
        <w:jc w:val="both"/>
        <w:rPr>
          <w:rFonts w:ascii="Arial" w:hAnsi="Arial" w:cs="Arial"/>
          <w:sz w:val="22"/>
        </w:rPr>
      </w:pPr>
      <w:r>
        <w:rPr>
          <w:rFonts w:cs="Arial" w:ascii="Arial" w:hAnsi="Arial"/>
          <w:sz w:val="22"/>
        </w:rPr>
      </w:r>
    </w:p>
    <w:p>
      <w:pPr>
        <w:pStyle w:val="Normal"/>
        <w:ind w:end="720"/>
        <w:jc w:val="both"/>
        <w:rPr>
          <w:rFonts w:ascii="Arial" w:hAnsi="Arial" w:cs="Arial"/>
          <w:sz w:val="22"/>
        </w:rPr>
      </w:pPr>
      <w:r>
        <w:rPr>
          <w:rFonts w:cs="Arial" w:ascii="Arial" w:hAnsi="Arial"/>
          <w:sz w:val="22"/>
        </w:rPr>
      </w:r>
    </w:p>
    <w:p>
      <w:pPr>
        <w:pStyle w:val="Normal"/>
        <w:ind w:end="720"/>
        <w:jc w:val="both"/>
        <w:rPr>
          <w:rFonts w:ascii="Arial" w:hAnsi="Arial" w:cs="Arial"/>
          <w:sz w:val="22"/>
        </w:rPr>
      </w:pPr>
      <w:r>
        <w:rPr>
          <w:rFonts w:cs="Arial" w:ascii="Arial" w:hAnsi="Arial"/>
          <w:sz w:val="22"/>
        </w:rPr>
        <w:t>Mr. Alex T. Alexander</w:t>
      </w:r>
    </w:p>
    <w:p>
      <w:pPr>
        <w:pStyle w:val="Normal"/>
        <w:ind w:end="720"/>
        <w:jc w:val="both"/>
        <w:rPr>
          <w:rFonts w:ascii="Arial" w:hAnsi="Arial" w:cs="Arial"/>
          <w:sz w:val="22"/>
        </w:rPr>
      </w:pPr>
      <w:r>
        <w:rPr>
          <w:rFonts w:cs="Arial" w:ascii="Arial" w:hAnsi="Arial"/>
          <w:sz w:val="22"/>
        </w:rPr>
        <w:t>May 22, 2001</w:t>
      </w:r>
    </w:p>
    <w:p>
      <w:pPr>
        <w:pStyle w:val="Normal"/>
        <w:ind w:end="720"/>
        <w:jc w:val="both"/>
        <w:rPr>
          <w:rFonts w:ascii="Arial" w:hAnsi="Arial" w:cs="Arial"/>
          <w:sz w:val="22"/>
        </w:rPr>
      </w:pPr>
      <w:r>
        <w:rPr>
          <w:rFonts w:cs="Arial" w:ascii="Arial" w:hAnsi="Arial"/>
          <w:sz w:val="22"/>
        </w:rPr>
        <w:t>Page 4</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EXCEPT IN CONNECTION WITH CLAIMS ARISING UNDER SECTION 4(b), NEITHER PARTY WILL BE LIABLE TO THE OTHER PARTY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THE WEBSITE OR ANY INFORMATION ON IT, EVEN IF SUCH PARTY HAS BEEN ADVISED OF THE POSSIBILITY OF SUCH DAMAGES.</w:t>
      </w:r>
    </w:p>
    <w:p>
      <w:pPr>
        <w:pStyle w:val="Normal"/>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(b) Paragraphs 4(b)(ii) and 4(b) (iii) will be deleted and replaced with the following:</w:t>
      </w:r>
    </w:p>
    <w:p>
      <w:pPr>
        <w:pStyle w:val="Normal"/>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w:t>
      </w:r>
      <w:r>
        <w:rPr>
          <w:rFonts w:cs="Arial" w:ascii="Arial" w:hAnsi="Arial"/>
          <w:sz w:val="22"/>
        </w:rPr>
        <w:t>(ii) any act or omission by any person (other than by hackers who have not obtained the Passwords from or through Counterparty) obtaining access to the Website through the Passwords (as defined in the Password Application), whether or not Counterparty has authorized such access, and/obtaining access, and/or (iii) any actions taken or not taken by Counterparty as a result of or based on its access to or utilization of the Website, unless such access, entry or action taken or not taken arises from acts or omissions of Enron and its directors, officers, employees, agents or contractors.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K.  Paragraph 5(c) – The changes proposed for this paragraph are acceptable.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L.  Paragraph 6(a) – The changes proposed for this paragraph are unacceptable and will not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  Paragraph 6(c) – The changes proposed for this paragraph are acceptable.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  Paragraph 6(e) – The changes proposed for this paragraph are acceptable.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O.  Paragraph 6(f)  - The changes proposed for this paragraph are unacceptable.  Arbitration is the standard method of settling disputes arising out of access to and use of the Website.  This does not hamper DB’s ability to enforce the terms of the ISDA if the dispute is in relation to a specific Transaction.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At your convenience, please review the above comments.  If you wish to have further discussions on any specific points, please feel free to call me.  If the above is acceptable, I will make the necessary changes to the Password Application and provide you with a side letter agreement for the ETA modifications.  Since the ETA remains a document that must be signed electronically (“clicked”), it is not possible to make changes to the agreement itself.  Accordingly, we provide a side letter amending the ETA in the appropriate places.</w:t>
      </w:r>
    </w:p>
    <w:p>
      <w:pPr>
        <w:pStyle w:val="Normal"/>
        <w:jc w:val="both"/>
        <w:rPr>
          <w:rFonts w:ascii="Arial" w:hAnsi="Arial" w:cs="Arial"/>
          <w:sz w:val="22"/>
        </w:rPr>
      </w:pPr>
      <w:r>
        <w:rPr>
          <w:rFonts w:cs="Arial" w:ascii="Arial" w:hAnsi="Arial"/>
          <w:sz w:val="22"/>
        </w:rPr>
      </w:r>
    </w:p>
    <w:p>
      <w:pPr>
        <w:pStyle w:val="Normal"/>
        <w:ind w:end="720"/>
        <w:jc w:val="both"/>
        <w:rPr>
          <w:rFonts w:ascii="Arial" w:hAnsi="Arial" w:cs="Arial"/>
          <w:sz w:val="22"/>
        </w:rPr>
      </w:pPr>
      <w:r>
        <w:rPr>
          <w:rFonts w:cs="Arial" w:ascii="Arial" w:hAnsi="Arial"/>
          <w:sz w:val="22"/>
        </w:rPr>
        <w:t>Mr. Alex T. Alexander</w:t>
      </w:r>
    </w:p>
    <w:p>
      <w:pPr>
        <w:pStyle w:val="Normal"/>
        <w:ind w:end="720"/>
        <w:jc w:val="both"/>
        <w:rPr>
          <w:rFonts w:ascii="Arial" w:hAnsi="Arial" w:cs="Arial"/>
          <w:sz w:val="22"/>
        </w:rPr>
      </w:pPr>
      <w:r>
        <w:rPr>
          <w:rFonts w:cs="Arial" w:ascii="Arial" w:hAnsi="Arial"/>
          <w:sz w:val="22"/>
        </w:rPr>
        <w:t>May 22, 2001</w:t>
      </w:r>
    </w:p>
    <w:p>
      <w:pPr>
        <w:pStyle w:val="Normal"/>
        <w:ind w:end="720"/>
        <w:jc w:val="both"/>
        <w:rPr>
          <w:rFonts w:ascii="Arial" w:hAnsi="Arial" w:cs="Arial"/>
          <w:sz w:val="22"/>
        </w:rPr>
      </w:pPr>
      <w:r>
        <w:rPr>
          <w:rFonts w:cs="Arial" w:ascii="Arial" w:hAnsi="Arial"/>
          <w:sz w:val="22"/>
        </w:rPr>
        <w:t>Page 5</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Thanks again for your patience.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ab/>
        <w:t>Very truly yours,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T. Jones (via electronic mail)</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/mnt/main-storage/datasets/enron-docs/doc/ltr_deutschebank_5_22_01_.doc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2001-05-22T13:18:00Z</dcterms:created>
  <dc:creator>jdavis5</dc:creator>
  <dc:description/>
  <dc:language>en-CA</dc:language>
  <cp:lastModifiedBy>mgreenbe</cp:lastModifiedBy>
  <cp:lastPrinted>2001-05-22T14:22:00Z</cp:lastPrinted>
  <dcterms:modified xsi:type="dcterms:W3CDTF">2001-05-22T16:52:00Z</dcterms:modified>
  <cp:revision>8</cp:revision>
  <dc:subject/>
  <dc:title>May 14, 1999</dc:title>
</cp:coreProperties>
</file>