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450" w:start="450" w:end="0"/>
        <w:rPr>
          <w:sz w:val="22"/>
        </w:rPr>
      </w:pPr>
      <w:r>
        <w:rPr>
          <w:sz w:val="22"/>
        </w:rPr>
      </w:r>
    </w:p>
    <w:p>
      <w:pPr>
        <w:pStyle w:val="Normal"/>
        <w:ind w:hanging="450" w:start="450" w:end="0"/>
        <w:rPr>
          <w:sz w:val="22"/>
        </w:rPr>
      </w:pPr>
      <w:r>
        <w:rPr>
          <w:sz w:val="22"/>
        </w:rPr>
      </w:r>
    </w:p>
    <w:p>
      <w:pPr>
        <w:pStyle w:val="Normal"/>
        <w:ind w:hanging="450" w:start="450" w:end="0"/>
        <w:rPr>
          <w:sz w:val="22"/>
        </w:rPr>
      </w:pPr>
      <w:r>
        <w:rPr>
          <w:sz w:val="22"/>
        </w:rPr>
      </w:r>
    </w:p>
    <w:p>
      <w:pPr>
        <w:pStyle w:val="Normal"/>
        <w:ind w:hanging="450" w:start="450" w:end="0"/>
        <w:rPr>
          <w:sz w:val="22"/>
        </w:rPr>
      </w:pPr>
      <w:r>
        <w:rPr>
          <w:sz w:val="22"/>
        </w:rPr>
      </w:r>
    </w:p>
    <w:p>
      <w:pPr>
        <w:pStyle w:val="Normal"/>
        <w:ind w:hanging="450" w:start="450" w:end="0"/>
        <w:rPr>
          <w:sz w:val="22"/>
        </w:rPr>
      </w:pPr>
      <w:r>
        <w:rPr>
          <w:sz w:val="22"/>
        </w:rPr>
      </w:r>
    </w:p>
    <w:p>
      <w:pPr>
        <w:pStyle w:val="Normal"/>
        <w:ind w:hanging="450" w:start="450" w:end="0"/>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ind w:hanging="450" w:start="450" w:end="0"/>
        <w:jc w:val="center"/>
        <w:rPr>
          <w:sz w:val="22"/>
        </w:rPr>
      </w:pPr>
      <w:r>
        <w:rPr>
          <w:sz w:val="22"/>
        </w:rPr>
      </w:r>
    </w:p>
    <w:p>
      <w:pPr>
        <w:pStyle w:val="Normal"/>
        <w:ind w:hanging="450" w:start="450" w:end="0"/>
        <w:jc w:val="center"/>
        <w:rPr>
          <w:sz w:val="22"/>
        </w:rPr>
      </w:pPr>
      <w:r>
        <w:rPr>
          <w:sz w:val="22"/>
        </w:rPr>
      </w:r>
    </w:p>
    <w:p>
      <w:pPr>
        <w:pStyle w:val="Normal"/>
        <w:ind w:hanging="450" w:start="450" w:end="0"/>
        <w:rPr>
          <w:sz w:val="22"/>
        </w:rPr>
      </w:pPr>
      <w:r>
        <w:rPr>
          <w:sz w:val="22"/>
        </w:rPr>
      </w:r>
    </w:p>
    <w:p>
      <w:pPr>
        <w:pStyle w:val="Normal"/>
        <w:ind w:hanging="450" w:start="450" w:end="0"/>
        <w:rPr>
          <w:sz w:val="22"/>
        </w:rPr>
      </w:pPr>
      <w:r>
        <w:rPr>
          <w:sz w:val="22"/>
        </w:rPr>
        <w:t>Carol A. Brown</w:t>
      </w:r>
    </w:p>
    <w:p>
      <w:pPr>
        <w:pStyle w:val="Normal"/>
        <w:ind w:hanging="450" w:start="450" w:end="0"/>
        <w:rPr>
          <w:sz w:val="22"/>
        </w:rPr>
      </w:pPr>
      <w:r>
        <w:rPr>
          <w:sz w:val="22"/>
        </w:rPr>
        <w:t>Administrative Law Judge</w:t>
      </w:r>
    </w:p>
    <w:p>
      <w:pPr>
        <w:pStyle w:val="Normal"/>
        <w:ind w:hanging="450" w:start="450" w:end="0"/>
        <w:rPr>
          <w:sz w:val="22"/>
        </w:rPr>
      </w:pPr>
      <w:r>
        <w:rPr>
          <w:sz w:val="22"/>
        </w:rPr>
        <w:t>505 Van Ness Avenue</w:t>
      </w:r>
    </w:p>
    <w:p>
      <w:pPr>
        <w:pStyle w:val="Normal"/>
        <w:ind w:hanging="450" w:start="450" w:end="0"/>
        <w:rPr>
          <w:sz w:val="22"/>
        </w:rPr>
      </w:pPr>
      <w:r>
        <w:rPr>
          <w:sz w:val="22"/>
        </w:rPr>
        <w:t>San Francisco, California 94102</w:t>
      </w:r>
    </w:p>
    <w:p>
      <w:pPr>
        <w:pStyle w:val="Normal"/>
        <w:ind w:hanging="450" w:start="450" w:end="0"/>
        <w:rPr>
          <w:sz w:val="22"/>
        </w:rPr>
      </w:pPr>
      <w:r>
        <w:rPr>
          <w:sz w:val="22"/>
        </w:rPr>
      </w:r>
    </w:p>
    <w:p>
      <w:pPr>
        <w:pStyle w:val="Normal"/>
        <w:ind w:hanging="450" w:start="450" w:end="0"/>
        <w:rPr>
          <w:sz w:val="22"/>
        </w:rPr>
      </w:pPr>
      <w:r>
        <w:rPr>
          <w:sz w:val="22"/>
        </w:rPr>
        <w:t>Re:  The San Diego Gas &amp; Electric Company Biennial Cost Allocation (BCAP) Proceeding Application, A. 01-10-005</w:t>
      </w:r>
    </w:p>
    <w:p>
      <w:pPr>
        <w:pStyle w:val="Normal"/>
        <w:rPr>
          <w:sz w:val="22"/>
        </w:rPr>
      </w:pPr>
      <w:r>
        <w:rPr>
          <w:sz w:val="22"/>
        </w:rPr>
      </w:r>
    </w:p>
    <w:p>
      <w:pPr>
        <w:pStyle w:val="Normal"/>
        <w:rPr>
          <w:sz w:val="22"/>
        </w:rPr>
      </w:pPr>
      <w:r>
        <w:rPr>
          <w:sz w:val="22"/>
        </w:rPr>
        <w:t xml:space="preserve">Dear Judge Brown, </w:t>
      </w:r>
    </w:p>
    <w:p>
      <w:pPr>
        <w:pStyle w:val="Normal"/>
        <w:rPr>
          <w:sz w:val="22"/>
        </w:rPr>
      </w:pPr>
      <w:r>
        <w:rPr>
          <w:sz w:val="22"/>
        </w:rPr>
      </w:r>
    </w:p>
    <w:p>
      <w:pPr>
        <w:pStyle w:val="Normal"/>
        <w:rPr>
          <w:sz w:val="22"/>
        </w:rPr>
      </w:pPr>
      <w:r>
        <w:rPr>
          <w:sz w:val="22"/>
        </w:rPr>
        <w:tab/>
        <w:t>As Southern California Gas Company (SoCalGas) attorney Jeffrey Parrott advised you by letter, dated December 13, 2001, Commission decision D. 01-12-018 (in I. 99-07-003) requires SoCalGas to implement several substantial business changes, impacting, among other things, its transmission, storage, and balancing services.  As Mr. Parrott stated, many of these changes will affect the consolidated SoCalGas/SDG&amp;E BCAP proceeding.  Understandably, SoCalGas intends to file a revised BCAP application and supporting testimony reflecting these changes.</w:t>
      </w:r>
    </w:p>
    <w:p>
      <w:pPr>
        <w:pStyle w:val="Normal"/>
        <w:spacing w:lineRule="auto" w:line="360"/>
        <w:rPr>
          <w:sz w:val="22"/>
        </w:rPr>
      </w:pPr>
      <w:r>
        <w:rPr>
          <w:sz w:val="22"/>
        </w:rPr>
      </w:r>
    </w:p>
    <w:p>
      <w:pPr>
        <w:pStyle w:val="Normal"/>
        <w:rPr>
          <w:sz w:val="22"/>
        </w:rPr>
      </w:pPr>
      <w:r>
        <w:rPr>
          <w:sz w:val="22"/>
        </w:rPr>
        <w:tab/>
        <w:t xml:space="preserve">Because SDG&amp;E uses various SoCalGas natural gas services, any change to SoCalGas’ offerings - - especially changes affecting allocation of costs - - will have a direct impact on SDG&amp;E.  While some adjustments to SDG&amp;E’s BCAP showing are inevitable, SDG&amp;E cannot know which changes will be necessary without first evaluating SoCalGas’ amended BCAP application.  Accordingly, SDG&amp;E will file its revised BCAP application and testimony 15 days after SoCalGas submits its revised showing.  </w:t>
      </w:r>
    </w:p>
    <w:p>
      <w:pPr>
        <w:pStyle w:val="Normal"/>
        <w:spacing w:lineRule="auto" w:line="360"/>
        <w:rPr>
          <w:sz w:val="22"/>
        </w:rPr>
      </w:pPr>
      <w:r>
        <w:rPr>
          <w:sz w:val="22"/>
        </w:rPr>
      </w:r>
    </w:p>
    <w:p>
      <w:pPr>
        <w:pStyle w:val="Normal"/>
        <w:rPr>
          <w:sz w:val="22"/>
        </w:rPr>
      </w:pPr>
      <w:r>
        <w:rPr>
          <w:sz w:val="22"/>
        </w:rPr>
        <w:tab/>
        <w:t>As with SoCalGas, SDG&amp;E is current with its data request responses.  Given the potentially significant changes ahead, however, SDG&amp;E asks parties to refrain from sending data requests concerning portions of SDG&amp;E's present filing that incorporate the allocation of SoCalGas costs of service.</w:t>
      </w:r>
    </w:p>
    <w:p>
      <w:pPr>
        <w:pStyle w:val="Normal"/>
        <w:rPr>
          <w:sz w:val="22"/>
        </w:rPr>
      </w:pPr>
      <w:r>
        <w:rPr>
          <w:sz w:val="22"/>
        </w:rPr>
      </w:r>
    </w:p>
    <w:p>
      <w:pPr>
        <w:pStyle w:val="Normal"/>
        <w:rPr>
          <w:sz w:val="22"/>
        </w:rPr>
      </w:pPr>
      <w:r>
        <w:rPr>
          <w:sz w:val="22"/>
        </w:rPr>
        <w:tab/>
        <w:t xml:space="preserve">Thank you for your patience and understanding. </w:t>
      </w:r>
    </w:p>
    <w:p>
      <w:pPr>
        <w:pStyle w:val="Normal"/>
        <w:rPr>
          <w:sz w:val="22"/>
        </w:rPr>
      </w:pPr>
      <w:r>
        <w:rPr>
          <w:sz w:val="22"/>
        </w:rPr>
      </w:r>
    </w:p>
    <w:p>
      <w:pPr>
        <w:pStyle w:val="Normal"/>
        <w:rPr>
          <w:sz w:val="22"/>
        </w:rPr>
      </w:pPr>
      <w:r>
        <w:rPr>
          <w:sz w:val="22"/>
        </w:rPr>
        <w:tab/>
        <w:tab/>
        <w:tab/>
        <w:tab/>
        <w:tab/>
        <w:tab/>
        <w:t xml:space="preserve">Sincerely,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b/>
        <w:tab/>
        <w:tab/>
        <w:tab/>
        <w:tab/>
        <w:tab/>
        <w:t>Vicki L. Thompson</w:t>
      </w:r>
    </w:p>
    <w:p>
      <w:pPr>
        <w:pStyle w:val="Normal"/>
        <w:rPr>
          <w:sz w:val="22"/>
        </w:rPr>
      </w:pPr>
      <w:r>
        <w:rPr>
          <w:sz w:val="22"/>
        </w:rPr>
        <w:tab/>
        <w:tab/>
        <w:tab/>
        <w:tab/>
        <w:tab/>
        <w:tab/>
        <w:t>Attorney for</w:t>
      </w:r>
    </w:p>
    <w:p>
      <w:pPr>
        <w:pStyle w:val="Normal"/>
        <w:rPr>
          <w:sz w:val="22"/>
        </w:rPr>
      </w:pPr>
      <w:r>
        <w:rPr>
          <w:sz w:val="22"/>
        </w:rPr>
        <w:tab/>
        <w:tab/>
        <w:tab/>
        <w:tab/>
        <w:tab/>
        <w:tab/>
        <w:t>San Diego Gas &amp; Electric Company</w:t>
      </w:r>
    </w:p>
    <w:p>
      <w:pPr>
        <w:pStyle w:val="Normal"/>
        <w:rPr>
          <w:sz w:val="22"/>
        </w:rPr>
      </w:pPr>
      <w:r>
        <w:rPr>
          <w:sz w:val="22"/>
        </w:rPr>
      </w:r>
    </w:p>
    <w:p>
      <w:pPr>
        <w:pStyle w:val="Normal"/>
        <w:rPr>
          <w:sz w:val="22"/>
        </w:rPr>
      </w:pPr>
      <w:r>
        <w:rPr>
          <w:sz w:val="22"/>
        </w:rPr>
        <w:t>cc:</w:t>
        <w:tab/>
        <w:t>Commissioner Geoffrey F. Brown</w:t>
      </w:r>
    </w:p>
    <w:p>
      <w:pPr>
        <w:pStyle w:val="Normal"/>
        <w:ind w:firstLine="720" w:end="0"/>
        <w:rPr>
          <w:sz w:val="22"/>
        </w:rPr>
      </w:pPr>
      <w:r>
        <w:rPr>
          <w:sz w:val="22"/>
        </w:rPr>
        <w:t>All parties of record to A. 01-10-005</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2001-12-20T15:02:00Z</dcterms:created>
  <dc:creator>sempra</dc:creator>
  <dc:description/>
  <dc:language>en-CA</dc:language>
  <cp:lastModifiedBy>Lisa Fucci-Ortiz</cp:lastModifiedBy>
  <cp:lastPrinted>2001-12-20T14:50:00Z</cp:lastPrinted>
  <dcterms:modified xsi:type="dcterms:W3CDTF">2001-12-20T20:32:00Z</dcterms:modified>
  <cp:revision>31</cp:revision>
  <dc:subject/>
  <dc:title>Re:  The San Diego Gas &amp; Electric Company Biennial Cost Application (BCAP) Proceeding Application, </dc:title>
</cp:coreProperties>
</file>