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4"/>
        </w:rPr>
      </w:pPr>
      <w:r>
        <w:rPr>
          <w:sz w:val="24"/>
        </w:rPr>
        <w:t>5.</w:t>
        <w:tab/>
        <w:t xml:space="preserve"> Loss Repayment Procedure (LRP)</w:t>
      </w:r>
    </w:p>
    <w:p>
      <w:pPr>
        <w:pStyle w:val="BodyText"/>
        <w:rPr/>
      </w:pPr>
      <w:r>
        <w:rPr/>
        <w:t>The MAPP LRP compensates MAPP transmission owners for losses incurred on their systems due to energy schedules over the MAPP Transmission System.  Members experiencing a reduction in losses on their system pay into a loss bank.  Members experiencing an increase in losses on their system collect from the loss bank.  The net of all collections and distributions is zero.  This loss repayment methodology is applied to both  MAPP Schedule F service and MAPP Member Open Access Transmission Tariff (OATT) service.</w:t>
      </w:r>
    </w:p>
    <w:p>
      <w:pPr>
        <w:pStyle w:val="BodyText"/>
        <w:rPr/>
      </w:pPr>
      <w:r>
        <w:rPr/>
      </w:r>
    </w:p>
    <w:p>
      <w:pPr>
        <w:pStyle w:val="Normal"/>
        <w:rPr>
          <w:rFonts w:ascii="Arial" w:hAnsi="Arial" w:cs="Arial"/>
          <w:sz w:val="24"/>
        </w:rPr>
      </w:pPr>
      <w:r>
        <w:rPr>
          <w:rFonts w:cs="Arial" w:ascii="Arial" w:hAnsi="Arial"/>
          <w:sz w:val="24"/>
        </w:rPr>
        <w:t xml:space="preserve">The LRP is discussed in Service Schedule F.  Functional requirements regarding data acquisition are discussed in the MCCS Operating Manual (LRPTSC).  </w:t>
      </w:r>
    </w:p>
    <w:p>
      <w:pPr>
        <w:pStyle w:val="Normal"/>
        <w:rPr>
          <w:rFonts w:ascii="Arial" w:hAnsi="Arial" w:cs="Arial"/>
          <w:sz w:val="24"/>
        </w:rPr>
      </w:pPr>
      <w:r>
        <w:rPr>
          <w:rFonts w:cs="Arial" w:ascii="Arial" w:hAnsi="Arial"/>
          <w:sz w:val="24"/>
        </w:rPr>
      </w:r>
    </w:p>
    <w:p>
      <w:pPr>
        <w:pStyle w:val="Normal"/>
        <w:rPr/>
      </w:pPr>
      <w:r>
        <w:rPr>
          <w:rFonts w:eastAsia="Arial" w:cs="Arial" w:ascii="Arial" w:hAnsi="Arial"/>
          <w:sz w:val="24"/>
        </w:rPr>
        <w:t xml:space="preserve">     </w:t>
      </w:r>
      <w:r>
        <w:rPr>
          <w:rFonts w:cs="Arial" w:ascii="Arial" w:hAnsi="Arial"/>
          <w:b/>
          <w:bCs/>
          <w:sz w:val="24"/>
        </w:rPr>
        <w:t>Highlighted features of the LRP:</w:t>
      </w:r>
    </w:p>
    <w:p>
      <w:pPr>
        <w:pStyle w:val="Normal"/>
        <w:rPr>
          <w:rFonts w:ascii="Arial" w:hAnsi="Arial" w:cs="Arial"/>
          <w:b/>
          <w:bCs/>
          <w:sz w:val="24"/>
        </w:rPr>
      </w:pPr>
      <w:r>
        <w:rPr>
          <w:rFonts w:cs="Arial" w:ascii="Arial" w:hAnsi="Arial"/>
          <w:b/>
          <w:bCs/>
          <w:sz w:val="24"/>
        </w:rPr>
      </w:r>
    </w:p>
    <w:p>
      <w:pPr>
        <w:pStyle w:val="Normal"/>
        <w:numPr>
          <w:ilvl w:val="0"/>
          <w:numId w:val="2"/>
        </w:numPr>
        <w:rPr>
          <w:rFonts w:ascii="Arial" w:hAnsi="Arial" w:cs="Arial"/>
          <w:sz w:val="24"/>
        </w:rPr>
      </w:pPr>
      <w:r>
        <w:rPr>
          <w:rFonts w:cs="Arial" w:ascii="Arial" w:hAnsi="Arial"/>
          <w:sz w:val="24"/>
        </w:rPr>
        <w:t xml:space="preserve">Losses/gains on the Seller (Source) system are included in the LRP calculations. </w:t>
      </w:r>
    </w:p>
    <w:p>
      <w:pPr>
        <w:pStyle w:val="Normal"/>
        <w:ind w:start="360" w:end="0"/>
        <w:rPr>
          <w:rFonts w:ascii="Arial" w:hAnsi="Arial" w:cs="Arial"/>
          <w:sz w:val="24"/>
        </w:rPr>
      </w:pPr>
      <w:r>
        <w:rPr>
          <w:rFonts w:cs="Arial" w:ascii="Arial" w:hAnsi="Arial"/>
          <w:sz w:val="24"/>
        </w:rPr>
      </w:r>
    </w:p>
    <w:p>
      <w:pPr>
        <w:pStyle w:val="Normal"/>
        <w:numPr>
          <w:ilvl w:val="0"/>
          <w:numId w:val="2"/>
        </w:numPr>
        <w:rPr>
          <w:rFonts w:ascii="Arial" w:hAnsi="Arial" w:cs="Arial"/>
          <w:sz w:val="24"/>
        </w:rPr>
      </w:pPr>
      <w:r>
        <w:rPr>
          <w:rFonts w:cs="Arial" w:ascii="Arial" w:hAnsi="Arial"/>
          <w:sz w:val="24"/>
        </w:rPr>
        <w:t>Losses/gains on the Buyer (Sink) system are not included in the LRP calculations.</w:t>
      </w:r>
    </w:p>
    <w:p>
      <w:pPr>
        <w:pStyle w:val="Normal"/>
        <w:rPr>
          <w:rFonts w:ascii="Arial" w:hAnsi="Arial" w:cs="Arial"/>
          <w:sz w:val="24"/>
        </w:rPr>
      </w:pPr>
      <w:r>
        <w:rPr>
          <w:rFonts w:cs="Arial" w:ascii="Arial" w:hAnsi="Arial"/>
          <w:sz w:val="24"/>
        </w:rPr>
      </w:r>
    </w:p>
    <w:p>
      <w:pPr>
        <w:pStyle w:val="Normal"/>
        <w:numPr>
          <w:ilvl w:val="0"/>
          <w:numId w:val="2"/>
        </w:numPr>
        <w:rPr>
          <w:rFonts w:ascii="Arial" w:hAnsi="Arial" w:cs="Arial"/>
          <w:sz w:val="24"/>
        </w:rPr>
      </w:pPr>
      <w:r>
        <w:rPr>
          <w:rFonts w:cs="Arial" w:ascii="Arial" w:hAnsi="Arial"/>
          <w:sz w:val="24"/>
        </w:rPr>
        <w:t xml:space="preserve">Separate on and off peak loss responsibility percentages are calculated and posted. </w:t>
      </w:r>
    </w:p>
    <w:p>
      <w:pPr>
        <w:pStyle w:val="Normal"/>
        <w:rPr>
          <w:rFonts w:ascii="Arial" w:hAnsi="Arial" w:cs="Arial"/>
          <w:sz w:val="16"/>
        </w:rPr>
      </w:pPr>
      <w:r>
        <w:rPr>
          <w:rFonts w:cs="Arial" w:ascii="Arial" w:hAnsi="Arial"/>
          <w:sz w:val="16"/>
        </w:rPr>
      </w:r>
    </w:p>
    <w:p>
      <w:pPr>
        <w:pStyle w:val="BodyTextIndent"/>
        <w:numPr>
          <w:ilvl w:val="0"/>
          <w:numId w:val="2"/>
        </w:numPr>
        <w:rPr>
          <w:rFonts w:ascii="Arial" w:hAnsi="Arial" w:cs="Arial"/>
          <w:sz w:val="24"/>
        </w:rPr>
      </w:pPr>
      <w:r>
        <w:rPr>
          <w:rFonts w:cs="Arial" w:ascii="Arial" w:hAnsi="Arial"/>
          <w:sz w:val="24"/>
        </w:rPr>
        <w:t xml:space="preserve">Dynamic waivers included in the LRP account for individual MAPP Member OATT usage.  Members that collect losses under their own tariff for a reservation do not collect MAPP LRP losses.  </w:t>
      </w:r>
    </w:p>
    <w:p>
      <w:pPr>
        <w:pStyle w:val="BodyTextIndent"/>
        <w:ind w:hanging="0" w:end="0"/>
        <w:rPr>
          <w:rFonts w:ascii="Arial" w:hAnsi="Arial" w:cs="Arial"/>
          <w:sz w:val="24"/>
        </w:rPr>
      </w:pPr>
      <w:r>
        <w:rPr>
          <w:rFonts w:cs="Arial" w:ascii="Arial" w:hAnsi="Arial"/>
          <w:sz w:val="24"/>
        </w:rPr>
      </w:r>
    </w:p>
    <w:p>
      <w:pPr>
        <w:pStyle w:val="BodyTextIndent"/>
        <w:numPr>
          <w:ilvl w:val="0"/>
          <w:numId w:val="2"/>
        </w:numPr>
        <w:rPr>
          <w:rFonts w:ascii="Arial" w:hAnsi="Arial" w:cs="Arial"/>
          <w:sz w:val="24"/>
        </w:rPr>
      </w:pPr>
      <w:r>
        <w:rPr>
          <w:rFonts w:cs="Arial" w:ascii="Arial" w:hAnsi="Arial"/>
          <w:sz w:val="24"/>
        </w:rPr>
        <w:t>Loss Matrix Adjustment File (LMAF) waivers allow for contractual arrangements regarding use of MAPP Member transmission systems.</w:t>
      </w:r>
    </w:p>
    <w:p>
      <w:pPr>
        <w:pStyle w:val="Normal"/>
        <w:rPr>
          <w:rFonts w:ascii="Arial" w:hAnsi="Arial" w:cs="Arial"/>
          <w:sz w:val="24"/>
        </w:rPr>
      </w:pPr>
      <w:r>
        <w:rPr>
          <w:rFonts w:cs="Arial" w:ascii="Arial" w:hAnsi="Arial"/>
          <w:sz w:val="24"/>
        </w:rPr>
      </w:r>
    </w:p>
    <w:p>
      <w:pPr>
        <w:pStyle w:val="BodyTextIndent"/>
        <w:numPr>
          <w:ilvl w:val="0"/>
          <w:numId w:val="2"/>
        </w:numPr>
        <w:rPr>
          <w:rFonts w:ascii="Arial" w:hAnsi="Arial" w:cs="Arial"/>
          <w:sz w:val="24"/>
        </w:rPr>
      </w:pPr>
      <w:r>
        <w:rPr>
          <w:rFonts w:cs="Arial" w:ascii="Arial" w:hAnsi="Arial"/>
          <w:sz w:val="24"/>
        </w:rPr>
        <w:t>The LRP uses the After-The-Fact (ATF) Energy Schedules from the SCHEDS application according to the timetable shown below.  If conflicting schedules still exist after the fifth day, the schedule showing the higher amount of energy, up to the maximum amount reserved, will be used.  This represents a conservative approach to ensure adequate compensation is made and to encourage accurate and timely reporting of energy schedules.</w:t>
      </w:r>
    </w:p>
    <w:p>
      <w:pPr>
        <w:pStyle w:val="BodyTextIndent"/>
        <w:ind w:hanging="0" w:start="0" w:end="0"/>
        <w:rPr>
          <w:rFonts w:ascii="Arial" w:hAnsi="Arial" w:cs="Arial"/>
          <w:sz w:val="24"/>
        </w:rPr>
      </w:pPr>
      <w:r>
        <w:rPr>
          <w:rFonts w:cs="Arial" w:ascii="Arial" w:hAnsi="Arial"/>
          <w:sz w:val="24"/>
        </w:rPr>
      </w:r>
    </w:p>
    <w:p>
      <w:pPr>
        <w:pStyle w:val="BodyTextIndent"/>
        <w:numPr>
          <w:ilvl w:val="0"/>
          <w:numId w:val="2"/>
        </w:numPr>
        <w:rPr>
          <w:rFonts w:ascii="Arial" w:hAnsi="Arial" w:cs="Arial"/>
          <w:sz w:val="24"/>
        </w:rPr>
      </w:pPr>
      <w:r>
        <w:rPr>
          <w:rFonts w:cs="Arial" w:ascii="Arial" w:hAnsi="Arial"/>
          <w:sz w:val="24"/>
        </w:rPr>
        <w:t xml:space="preserve">Transmission owners are reimbursed in-kind for losses as determined by the LRP one week after the energy schedule. </w:t>
      </w:r>
    </w:p>
    <w:p>
      <w:pPr>
        <w:pStyle w:val="BodyTextIndent"/>
        <w:rPr>
          <w:rFonts w:ascii="Arial" w:hAnsi="Arial" w:cs="Arial"/>
          <w:sz w:val="24"/>
        </w:rPr>
      </w:pPr>
      <w:r>
        <w:rPr>
          <w:rFonts w:cs="Arial" w:ascii="Arial" w:hAnsi="Arial"/>
          <w:sz w:val="24"/>
        </w:rPr>
      </w:r>
      <w:r>
        <w:br w:type="page"/>
      </w:r>
    </w:p>
    <w:p>
      <w:pPr>
        <w:pStyle w:val="Normal"/>
        <w:rPr>
          <w:rFonts w:ascii="Arial" w:hAnsi="Arial" w:cs="Arial"/>
          <w:sz w:val="24"/>
        </w:rPr>
      </w:pPr>
      <w:r>
        <w:rPr>
          <w:rFonts w:cs="Arial" w:ascii="Arial" w:hAnsi="Arial"/>
          <w:sz w:val="24"/>
        </w:rPr>
      </w:r>
    </w:p>
    <w:tbl>
      <w:tblPr>
        <w:tblW w:w="9576" w:type="dxa"/>
        <w:jc w:val="start"/>
        <w:tblInd w:w="0" w:type="dxa"/>
        <w:tblLayout w:type="fixed"/>
        <w:tblCellMar>
          <w:top w:w="0" w:type="dxa"/>
          <w:start w:w="108" w:type="dxa"/>
          <w:bottom w:w="0" w:type="dxa"/>
          <w:end w:w="108" w:type="dxa"/>
        </w:tblCellMar>
      </w:tblPr>
      <w:tblGrid>
        <w:gridCol w:w="2394"/>
        <w:gridCol w:w="2394"/>
        <w:gridCol w:w="2394"/>
        <w:gridCol w:w="2394"/>
      </w:tblGrid>
      <w:tr>
        <w:trPr/>
        <w:tc>
          <w:tcPr>
            <w:tcW w:w="2394" w:type="dxa"/>
            <w:tcBorders/>
          </w:tcPr>
          <w:p>
            <w:pPr>
              <w:pStyle w:val="Normal"/>
              <w:snapToGrid w:val="false"/>
              <w:rPr>
                <w:rFonts w:ascii="Arial" w:hAnsi="Arial" w:cs="Arial"/>
                <w:sz w:val="24"/>
              </w:rPr>
            </w:pPr>
            <w:r>
              <w:rPr>
                <w:rFonts w:cs="Arial" w:ascii="Arial" w:hAnsi="Arial"/>
                <w:sz w:val="24"/>
              </w:rPr>
            </w:r>
          </w:p>
        </w:tc>
        <w:tc>
          <w:tcPr>
            <w:tcW w:w="4788" w:type="dxa"/>
            <w:gridSpan w:val="2"/>
            <w:tcBorders/>
          </w:tcPr>
          <w:p>
            <w:pPr>
              <w:pStyle w:val="Normal"/>
              <w:jc w:val="center"/>
              <w:rPr>
                <w:rFonts w:ascii="Arial" w:hAnsi="Arial" w:cs="Arial"/>
                <w:sz w:val="24"/>
              </w:rPr>
            </w:pPr>
            <w:r>
              <w:rPr>
                <w:rFonts w:cs="Arial" w:ascii="Arial" w:hAnsi="Arial"/>
                <w:sz w:val="24"/>
              </w:rPr>
              <w:t>LRP Weekly Timetable</w:t>
            </w:r>
          </w:p>
          <w:p>
            <w:pPr>
              <w:pStyle w:val="Normal"/>
              <w:rPr>
                <w:rFonts w:ascii="Arial" w:hAnsi="Arial" w:cs="Arial"/>
                <w:sz w:val="24"/>
              </w:rPr>
            </w:pPr>
            <w:r>
              <w:rPr>
                <w:rFonts w:cs="Arial" w:ascii="Arial" w:hAnsi="Arial"/>
                <w:sz w:val="24"/>
              </w:rPr>
            </w:r>
          </w:p>
        </w:tc>
        <w:tc>
          <w:tcPr>
            <w:tcW w:w="2394" w:type="dxa"/>
            <w:tcBorders/>
          </w:tcPr>
          <w:p>
            <w:pPr>
              <w:pStyle w:val="Normal"/>
              <w:snapToGrid w:val="false"/>
              <w:rPr>
                <w:rFonts w:ascii="Arial" w:hAnsi="Arial" w:cs="Arial"/>
                <w:sz w:val="24"/>
              </w:rPr>
            </w:pPr>
            <w:r>
              <w:rPr>
                <w:rFonts w:cs="Arial" w:ascii="Arial" w:hAnsi="Arial"/>
                <w:sz w:val="24"/>
              </w:rPr>
            </w:r>
          </w:p>
        </w:tc>
      </w:tr>
      <w:tr>
        <w:trPr/>
        <w:tc>
          <w:tcPr>
            <w:tcW w:w="2394" w:type="dxa"/>
            <w:tcBorders>
              <w:bottom w:val="single" w:sz="6" w:space="0" w:color="000000"/>
            </w:tcBorders>
          </w:tcPr>
          <w:p>
            <w:pPr>
              <w:pStyle w:val="Normal"/>
              <w:snapToGrid w:val="false"/>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t>Schedule Day</w:t>
            </w:r>
          </w:p>
        </w:tc>
        <w:tc>
          <w:tcPr>
            <w:tcW w:w="2394" w:type="dxa"/>
            <w:tcBorders>
              <w:bottom w:val="single" w:sz="6" w:space="0" w:color="000000"/>
            </w:tcBorders>
          </w:tcPr>
          <w:p>
            <w:pPr>
              <w:pStyle w:val="Normal"/>
              <w:jc w:val="center"/>
              <w:rPr>
                <w:rFonts w:ascii="Arial" w:hAnsi="Arial" w:cs="Arial"/>
                <w:sz w:val="24"/>
              </w:rPr>
            </w:pPr>
            <w:r>
              <w:rPr>
                <w:rFonts w:cs="Arial" w:ascii="Arial" w:hAnsi="Arial"/>
                <w:sz w:val="24"/>
              </w:rPr>
              <w:t>Due to the MAPP</w:t>
            </w:r>
          </w:p>
          <w:p>
            <w:pPr>
              <w:pStyle w:val="Normal"/>
              <w:jc w:val="center"/>
              <w:rPr>
                <w:rFonts w:ascii="Arial" w:hAnsi="Arial" w:cs="Arial"/>
                <w:sz w:val="24"/>
              </w:rPr>
            </w:pPr>
            <w:r>
              <w:rPr>
                <w:rFonts w:cs="Arial" w:ascii="Arial" w:hAnsi="Arial"/>
                <w:sz w:val="24"/>
              </w:rPr>
              <w:t xml:space="preserve">Center </w:t>
            </w:r>
          </w:p>
          <w:p>
            <w:pPr>
              <w:pStyle w:val="Normal"/>
              <w:jc w:val="center"/>
              <w:rPr>
                <w:rFonts w:ascii="Arial" w:hAnsi="Arial" w:cs="Arial"/>
                <w:sz w:val="24"/>
              </w:rPr>
            </w:pPr>
            <w:r>
              <w:rPr>
                <w:rFonts w:cs="Arial" w:ascii="Arial" w:hAnsi="Arial"/>
                <w:sz w:val="24"/>
              </w:rPr>
              <w:t>(Midnight-4PM)</w:t>
            </w:r>
          </w:p>
        </w:tc>
        <w:tc>
          <w:tcPr>
            <w:tcW w:w="2394" w:type="dxa"/>
            <w:tcBorders>
              <w:bottom w:val="single" w:sz="6" w:space="0" w:color="000000"/>
            </w:tcBorders>
          </w:tcPr>
          <w:p>
            <w:pPr>
              <w:pStyle w:val="Normal"/>
              <w:jc w:val="center"/>
              <w:rPr>
                <w:rFonts w:ascii="Arial" w:hAnsi="Arial" w:cs="Arial"/>
                <w:sz w:val="24"/>
              </w:rPr>
            </w:pPr>
            <w:r>
              <w:rPr>
                <w:rFonts w:cs="Arial" w:ascii="Arial" w:hAnsi="Arial"/>
                <w:sz w:val="24"/>
              </w:rPr>
              <w:t xml:space="preserve">Verification by MAPP Staff </w:t>
            </w:r>
          </w:p>
        </w:tc>
        <w:tc>
          <w:tcPr>
            <w:tcW w:w="2394" w:type="dxa"/>
            <w:tcBorders>
              <w:bottom w:val="single" w:sz="6" w:space="0" w:color="000000"/>
            </w:tcBorders>
          </w:tcPr>
          <w:p>
            <w:pPr>
              <w:pStyle w:val="Normal"/>
              <w:jc w:val="center"/>
              <w:rPr>
                <w:rFonts w:ascii="Arial" w:hAnsi="Arial" w:cs="Arial"/>
                <w:sz w:val="24"/>
              </w:rPr>
            </w:pPr>
            <w:r>
              <w:rPr>
                <w:rFonts w:cs="Arial" w:ascii="Arial" w:hAnsi="Arial"/>
                <w:sz w:val="24"/>
              </w:rPr>
              <w:t>LRP payback Sched Released by (11AM)</w:t>
            </w:r>
          </w:p>
        </w:tc>
      </w:tr>
      <w:tr>
        <w:trPr/>
        <w:tc>
          <w:tcPr>
            <w:tcW w:w="2394" w:type="dxa"/>
            <w:tcBorders/>
          </w:tcPr>
          <w:p>
            <w:pPr>
              <w:pStyle w:val="Normal"/>
              <w:jc w:val="center"/>
              <w:rPr>
                <w:rFonts w:ascii="Arial" w:hAnsi="Arial" w:cs="Arial"/>
                <w:sz w:val="24"/>
              </w:rPr>
            </w:pPr>
            <w:r>
              <w:rPr>
                <w:rFonts w:cs="Arial" w:ascii="Arial" w:hAnsi="Arial"/>
                <w:sz w:val="24"/>
              </w:rPr>
              <w:t>Monday</w:t>
            </w:r>
          </w:p>
        </w:tc>
        <w:tc>
          <w:tcPr>
            <w:tcW w:w="2394" w:type="dxa"/>
            <w:tcBorders/>
          </w:tcPr>
          <w:p>
            <w:pPr>
              <w:pStyle w:val="Normal"/>
              <w:jc w:val="center"/>
              <w:rPr>
                <w:rFonts w:ascii="Arial" w:hAnsi="Arial" w:cs="Arial"/>
                <w:sz w:val="24"/>
              </w:rPr>
            </w:pPr>
            <w:r>
              <w:rPr>
                <w:rFonts w:cs="Arial" w:ascii="Arial" w:hAnsi="Arial"/>
                <w:sz w:val="24"/>
              </w:rPr>
              <w:t>Tuesday</w:t>
            </w:r>
          </w:p>
        </w:tc>
        <w:tc>
          <w:tcPr>
            <w:tcW w:w="2394" w:type="dxa"/>
            <w:tcBorders/>
          </w:tcPr>
          <w:p>
            <w:pPr>
              <w:pStyle w:val="Normal"/>
              <w:jc w:val="center"/>
              <w:rPr>
                <w:rFonts w:ascii="Arial" w:hAnsi="Arial" w:cs="Arial"/>
                <w:sz w:val="24"/>
              </w:rPr>
            </w:pPr>
            <w:r>
              <w:rPr>
                <w:rFonts w:cs="Arial" w:ascii="Arial" w:hAnsi="Arial"/>
                <w:sz w:val="24"/>
              </w:rPr>
              <w:t>Tuesday</w:t>
            </w:r>
          </w:p>
        </w:tc>
        <w:tc>
          <w:tcPr>
            <w:tcW w:w="2394" w:type="dxa"/>
            <w:tcBorders/>
          </w:tcPr>
          <w:p>
            <w:pPr>
              <w:pStyle w:val="Normal"/>
              <w:jc w:val="center"/>
              <w:rPr>
                <w:rFonts w:ascii="Arial" w:hAnsi="Arial" w:cs="Arial"/>
                <w:sz w:val="24"/>
              </w:rPr>
            </w:pPr>
            <w:r>
              <w:rPr>
                <w:rFonts w:cs="Arial" w:ascii="Arial" w:hAnsi="Arial"/>
                <w:sz w:val="24"/>
              </w:rPr>
              <w:t>Friday</w:t>
            </w:r>
          </w:p>
        </w:tc>
      </w:tr>
      <w:tr>
        <w:trPr/>
        <w:tc>
          <w:tcPr>
            <w:tcW w:w="2394" w:type="dxa"/>
            <w:tcBorders/>
          </w:tcPr>
          <w:p>
            <w:pPr>
              <w:pStyle w:val="Normal"/>
              <w:jc w:val="center"/>
              <w:rPr>
                <w:rFonts w:ascii="Arial" w:hAnsi="Arial" w:cs="Arial"/>
                <w:sz w:val="24"/>
              </w:rPr>
            </w:pPr>
            <w:r>
              <w:rPr>
                <w:rFonts w:cs="Arial" w:ascii="Arial" w:hAnsi="Arial"/>
                <w:sz w:val="24"/>
              </w:rPr>
              <w:t>Tuesday</w:t>
            </w:r>
          </w:p>
        </w:tc>
        <w:tc>
          <w:tcPr>
            <w:tcW w:w="2394" w:type="dxa"/>
            <w:tcBorders/>
          </w:tcPr>
          <w:p>
            <w:pPr>
              <w:pStyle w:val="Normal"/>
              <w:jc w:val="center"/>
              <w:rPr>
                <w:rFonts w:ascii="Arial" w:hAnsi="Arial" w:cs="Arial"/>
                <w:sz w:val="24"/>
              </w:rPr>
            </w:pPr>
            <w:r>
              <w:rPr>
                <w:rFonts w:cs="Arial" w:ascii="Arial" w:hAnsi="Arial"/>
                <w:sz w:val="24"/>
              </w:rPr>
              <w:t>Wednesday</w:t>
            </w:r>
          </w:p>
        </w:tc>
        <w:tc>
          <w:tcPr>
            <w:tcW w:w="2394" w:type="dxa"/>
            <w:tcBorders/>
          </w:tcPr>
          <w:p>
            <w:pPr>
              <w:pStyle w:val="Normal"/>
              <w:jc w:val="center"/>
              <w:rPr>
                <w:rFonts w:ascii="Arial" w:hAnsi="Arial" w:cs="Arial"/>
                <w:sz w:val="24"/>
              </w:rPr>
            </w:pPr>
            <w:r>
              <w:rPr>
                <w:rFonts w:cs="Arial" w:ascii="Arial" w:hAnsi="Arial"/>
                <w:sz w:val="24"/>
              </w:rPr>
              <w:t>Wednesday</w:t>
            </w:r>
          </w:p>
        </w:tc>
        <w:tc>
          <w:tcPr>
            <w:tcW w:w="2394" w:type="dxa"/>
            <w:tcBorders/>
          </w:tcPr>
          <w:p>
            <w:pPr>
              <w:pStyle w:val="Normal"/>
              <w:jc w:val="center"/>
              <w:rPr>
                <w:rFonts w:ascii="Arial" w:hAnsi="Arial" w:cs="Arial"/>
                <w:sz w:val="24"/>
              </w:rPr>
            </w:pPr>
            <w:r>
              <w:rPr>
                <w:rFonts w:cs="Arial" w:ascii="Arial" w:hAnsi="Arial"/>
                <w:sz w:val="24"/>
              </w:rPr>
              <w:t>Monday</w:t>
            </w:r>
          </w:p>
        </w:tc>
      </w:tr>
      <w:tr>
        <w:trPr/>
        <w:tc>
          <w:tcPr>
            <w:tcW w:w="2394" w:type="dxa"/>
            <w:tcBorders/>
          </w:tcPr>
          <w:p>
            <w:pPr>
              <w:pStyle w:val="Normal"/>
              <w:jc w:val="center"/>
              <w:rPr>
                <w:rFonts w:ascii="Arial" w:hAnsi="Arial" w:cs="Arial"/>
                <w:sz w:val="24"/>
              </w:rPr>
            </w:pPr>
            <w:r>
              <w:rPr>
                <w:rFonts w:cs="Arial" w:ascii="Arial" w:hAnsi="Arial"/>
                <w:sz w:val="24"/>
              </w:rPr>
              <w:t>Wednesday</w:t>
            </w:r>
          </w:p>
        </w:tc>
        <w:tc>
          <w:tcPr>
            <w:tcW w:w="2394" w:type="dxa"/>
            <w:tcBorders/>
          </w:tcPr>
          <w:p>
            <w:pPr>
              <w:pStyle w:val="Normal"/>
              <w:jc w:val="center"/>
              <w:rPr>
                <w:rFonts w:ascii="Arial" w:hAnsi="Arial" w:cs="Arial"/>
                <w:sz w:val="24"/>
              </w:rPr>
            </w:pPr>
            <w:r>
              <w:rPr>
                <w:rFonts w:cs="Arial" w:ascii="Arial" w:hAnsi="Arial"/>
                <w:sz w:val="24"/>
              </w:rPr>
              <w:t>Thursday</w:t>
            </w:r>
          </w:p>
        </w:tc>
        <w:tc>
          <w:tcPr>
            <w:tcW w:w="2394" w:type="dxa"/>
            <w:tcBorders/>
          </w:tcPr>
          <w:p>
            <w:pPr>
              <w:pStyle w:val="Normal"/>
              <w:jc w:val="center"/>
              <w:rPr>
                <w:rFonts w:ascii="Arial" w:hAnsi="Arial" w:cs="Arial"/>
                <w:sz w:val="24"/>
              </w:rPr>
            </w:pPr>
            <w:r>
              <w:rPr>
                <w:rFonts w:cs="Arial" w:ascii="Arial" w:hAnsi="Arial"/>
                <w:sz w:val="24"/>
              </w:rPr>
              <w:t>Thursday</w:t>
            </w:r>
          </w:p>
        </w:tc>
        <w:tc>
          <w:tcPr>
            <w:tcW w:w="2394" w:type="dxa"/>
            <w:tcBorders/>
          </w:tcPr>
          <w:p>
            <w:pPr>
              <w:pStyle w:val="Normal"/>
              <w:jc w:val="center"/>
              <w:rPr>
                <w:rFonts w:ascii="Arial" w:hAnsi="Arial" w:cs="Arial"/>
                <w:sz w:val="24"/>
              </w:rPr>
            </w:pPr>
            <w:r>
              <w:rPr>
                <w:rFonts w:cs="Arial" w:ascii="Arial" w:hAnsi="Arial"/>
                <w:sz w:val="24"/>
              </w:rPr>
              <w:t>Tuesday</w:t>
            </w:r>
          </w:p>
        </w:tc>
      </w:tr>
      <w:tr>
        <w:trPr/>
        <w:tc>
          <w:tcPr>
            <w:tcW w:w="2394" w:type="dxa"/>
            <w:tcBorders/>
          </w:tcPr>
          <w:p>
            <w:pPr>
              <w:pStyle w:val="Normal"/>
              <w:jc w:val="center"/>
              <w:rPr>
                <w:rFonts w:ascii="Arial" w:hAnsi="Arial" w:cs="Arial"/>
                <w:sz w:val="24"/>
              </w:rPr>
            </w:pPr>
            <w:r>
              <w:rPr>
                <w:rFonts w:cs="Arial" w:ascii="Arial" w:hAnsi="Arial"/>
                <w:sz w:val="24"/>
              </w:rPr>
              <w:t>Thursday</w:t>
            </w:r>
          </w:p>
        </w:tc>
        <w:tc>
          <w:tcPr>
            <w:tcW w:w="2394" w:type="dxa"/>
            <w:tcBorders/>
          </w:tcPr>
          <w:p>
            <w:pPr>
              <w:pStyle w:val="Normal"/>
              <w:jc w:val="center"/>
              <w:rPr>
                <w:rFonts w:ascii="Arial" w:hAnsi="Arial" w:cs="Arial"/>
                <w:sz w:val="24"/>
              </w:rPr>
            </w:pPr>
            <w:r>
              <w:rPr>
                <w:rFonts w:cs="Arial" w:ascii="Arial" w:hAnsi="Arial"/>
                <w:sz w:val="24"/>
              </w:rPr>
              <w:t>Friday</w:t>
            </w:r>
          </w:p>
        </w:tc>
        <w:tc>
          <w:tcPr>
            <w:tcW w:w="2394" w:type="dxa"/>
            <w:tcBorders/>
          </w:tcPr>
          <w:p>
            <w:pPr>
              <w:pStyle w:val="Normal"/>
              <w:jc w:val="center"/>
              <w:rPr>
                <w:rFonts w:ascii="Arial" w:hAnsi="Arial" w:cs="Arial"/>
                <w:sz w:val="24"/>
              </w:rPr>
            </w:pPr>
            <w:r>
              <w:rPr>
                <w:rFonts w:cs="Arial" w:ascii="Arial" w:hAnsi="Arial"/>
                <w:sz w:val="24"/>
              </w:rPr>
              <w:t>Friday</w:t>
            </w:r>
          </w:p>
        </w:tc>
        <w:tc>
          <w:tcPr>
            <w:tcW w:w="2394" w:type="dxa"/>
            <w:tcBorders/>
          </w:tcPr>
          <w:p>
            <w:pPr>
              <w:pStyle w:val="Normal"/>
              <w:jc w:val="center"/>
              <w:rPr>
                <w:rFonts w:ascii="Arial" w:hAnsi="Arial" w:cs="Arial"/>
                <w:sz w:val="24"/>
              </w:rPr>
            </w:pPr>
            <w:r>
              <w:rPr>
                <w:rFonts w:cs="Arial" w:ascii="Arial" w:hAnsi="Arial"/>
                <w:sz w:val="24"/>
              </w:rPr>
              <w:t>Wednesday</w:t>
            </w:r>
          </w:p>
        </w:tc>
      </w:tr>
      <w:tr>
        <w:trPr/>
        <w:tc>
          <w:tcPr>
            <w:tcW w:w="2394" w:type="dxa"/>
            <w:tcBorders/>
          </w:tcPr>
          <w:p>
            <w:pPr>
              <w:pStyle w:val="Normal"/>
              <w:jc w:val="center"/>
              <w:rPr>
                <w:rFonts w:ascii="Arial" w:hAnsi="Arial" w:cs="Arial"/>
                <w:sz w:val="24"/>
              </w:rPr>
            </w:pPr>
            <w:r>
              <w:rPr>
                <w:rFonts w:cs="Arial" w:ascii="Arial" w:hAnsi="Arial"/>
                <w:sz w:val="24"/>
              </w:rPr>
              <w:t>Friday</w:t>
            </w:r>
          </w:p>
        </w:tc>
        <w:tc>
          <w:tcPr>
            <w:tcW w:w="2394" w:type="dxa"/>
            <w:tcBorders/>
          </w:tcPr>
          <w:p>
            <w:pPr>
              <w:pStyle w:val="Normal"/>
              <w:jc w:val="center"/>
              <w:rPr>
                <w:rFonts w:ascii="Arial" w:hAnsi="Arial" w:cs="Arial"/>
                <w:sz w:val="24"/>
              </w:rPr>
            </w:pPr>
            <w:r>
              <w:rPr>
                <w:rFonts w:cs="Arial" w:ascii="Arial" w:hAnsi="Arial"/>
                <w:sz w:val="24"/>
              </w:rPr>
              <w:t>Monday</w:t>
            </w:r>
          </w:p>
        </w:tc>
        <w:tc>
          <w:tcPr>
            <w:tcW w:w="2394" w:type="dxa"/>
            <w:tcBorders/>
          </w:tcPr>
          <w:p>
            <w:pPr>
              <w:pStyle w:val="Normal"/>
              <w:jc w:val="center"/>
              <w:rPr>
                <w:rFonts w:ascii="Arial" w:hAnsi="Arial" w:cs="Arial"/>
                <w:sz w:val="24"/>
              </w:rPr>
            </w:pPr>
            <w:r>
              <w:rPr>
                <w:rFonts w:cs="Arial" w:ascii="Arial" w:hAnsi="Arial"/>
                <w:sz w:val="24"/>
              </w:rPr>
              <w:t>Monday</w:t>
            </w:r>
          </w:p>
        </w:tc>
        <w:tc>
          <w:tcPr>
            <w:tcW w:w="2394" w:type="dxa"/>
            <w:tcBorders/>
          </w:tcPr>
          <w:p>
            <w:pPr>
              <w:pStyle w:val="Normal"/>
              <w:jc w:val="center"/>
              <w:rPr>
                <w:rFonts w:ascii="Arial" w:hAnsi="Arial" w:cs="Arial"/>
                <w:sz w:val="24"/>
              </w:rPr>
            </w:pPr>
            <w:r>
              <w:rPr>
                <w:rFonts w:cs="Arial" w:ascii="Arial" w:hAnsi="Arial"/>
                <w:sz w:val="24"/>
              </w:rPr>
              <w:t>Thursday</w:t>
            </w:r>
          </w:p>
        </w:tc>
      </w:tr>
      <w:tr>
        <w:trPr/>
        <w:tc>
          <w:tcPr>
            <w:tcW w:w="2394" w:type="dxa"/>
            <w:tcBorders/>
          </w:tcPr>
          <w:p>
            <w:pPr>
              <w:pStyle w:val="Normal"/>
              <w:jc w:val="center"/>
              <w:rPr>
                <w:rFonts w:ascii="Arial" w:hAnsi="Arial" w:cs="Arial"/>
                <w:sz w:val="24"/>
              </w:rPr>
            </w:pPr>
            <w:r>
              <w:rPr>
                <w:rFonts w:cs="Arial" w:ascii="Arial" w:hAnsi="Arial"/>
                <w:sz w:val="24"/>
              </w:rPr>
              <w:t>Saturday</w:t>
            </w:r>
          </w:p>
        </w:tc>
        <w:tc>
          <w:tcPr>
            <w:tcW w:w="2394" w:type="dxa"/>
            <w:tcBorders/>
          </w:tcPr>
          <w:p>
            <w:pPr>
              <w:pStyle w:val="Normal"/>
              <w:jc w:val="center"/>
              <w:rPr>
                <w:rFonts w:ascii="Arial" w:hAnsi="Arial" w:cs="Arial"/>
                <w:sz w:val="24"/>
              </w:rPr>
            </w:pPr>
            <w:r>
              <w:rPr>
                <w:rFonts w:cs="Arial" w:ascii="Arial" w:hAnsi="Arial"/>
                <w:sz w:val="24"/>
              </w:rPr>
              <w:t>Monday</w:t>
            </w:r>
          </w:p>
        </w:tc>
        <w:tc>
          <w:tcPr>
            <w:tcW w:w="2394" w:type="dxa"/>
            <w:tcBorders/>
          </w:tcPr>
          <w:p>
            <w:pPr>
              <w:pStyle w:val="Normal"/>
              <w:jc w:val="center"/>
              <w:rPr>
                <w:rFonts w:ascii="Arial" w:hAnsi="Arial" w:cs="Arial"/>
                <w:sz w:val="24"/>
              </w:rPr>
            </w:pPr>
            <w:r>
              <w:rPr>
                <w:rFonts w:cs="Arial" w:ascii="Arial" w:hAnsi="Arial"/>
                <w:sz w:val="24"/>
              </w:rPr>
              <w:t>Monday</w:t>
            </w:r>
          </w:p>
        </w:tc>
        <w:tc>
          <w:tcPr>
            <w:tcW w:w="2394" w:type="dxa"/>
            <w:tcBorders/>
          </w:tcPr>
          <w:p>
            <w:pPr>
              <w:pStyle w:val="Normal"/>
              <w:jc w:val="center"/>
              <w:rPr>
                <w:rFonts w:ascii="Arial" w:hAnsi="Arial" w:cs="Arial"/>
                <w:sz w:val="24"/>
              </w:rPr>
            </w:pPr>
            <w:r>
              <w:rPr>
                <w:rFonts w:cs="Arial" w:ascii="Arial" w:hAnsi="Arial"/>
                <w:sz w:val="24"/>
              </w:rPr>
              <w:t>Friday</w:t>
            </w:r>
          </w:p>
        </w:tc>
      </w:tr>
      <w:tr>
        <w:trPr/>
        <w:tc>
          <w:tcPr>
            <w:tcW w:w="2394" w:type="dxa"/>
            <w:tcBorders/>
          </w:tcPr>
          <w:p>
            <w:pPr>
              <w:pStyle w:val="Normal"/>
              <w:jc w:val="center"/>
              <w:rPr>
                <w:rFonts w:ascii="Arial" w:hAnsi="Arial" w:cs="Arial"/>
                <w:sz w:val="24"/>
              </w:rPr>
            </w:pPr>
            <w:r>
              <w:rPr>
                <w:rFonts w:cs="Arial" w:ascii="Arial" w:hAnsi="Arial"/>
                <w:sz w:val="24"/>
              </w:rPr>
              <w:t>Sunday</w:t>
            </w:r>
          </w:p>
        </w:tc>
        <w:tc>
          <w:tcPr>
            <w:tcW w:w="2394" w:type="dxa"/>
            <w:tcBorders/>
          </w:tcPr>
          <w:p>
            <w:pPr>
              <w:pStyle w:val="Normal"/>
              <w:jc w:val="center"/>
              <w:rPr>
                <w:rFonts w:ascii="Arial" w:hAnsi="Arial" w:cs="Arial"/>
                <w:sz w:val="24"/>
              </w:rPr>
            </w:pPr>
            <w:r>
              <w:rPr>
                <w:rFonts w:cs="Arial" w:ascii="Arial" w:hAnsi="Arial"/>
                <w:sz w:val="24"/>
              </w:rPr>
              <w:t>Monday</w:t>
            </w:r>
          </w:p>
        </w:tc>
        <w:tc>
          <w:tcPr>
            <w:tcW w:w="2394" w:type="dxa"/>
            <w:tcBorders/>
          </w:tcPr>
          <w:p>
            <w:pPr>
              <w:pStyle w:val="Normal"/>
              <w:jc w:val="center"/>
              <w:rPr>
                <w:rFonts w:ascii="Arial" w:hAnsi="Arial" w:cs="Arial"/>
                <w:sz w:val="24"/>
              </w:rPr>
            </w:pPr>
            <w:r>
              <w:rPr>
                <w:rFonts w:cs="Arial" w:ascii="Arial" w:hAnsi="Arial"/>
                <w:sz w:val="24"/>
              </w:rPr>
              <w:t>Monday</w:t>
            </w:r>
          </w:p>
        </w:tc>
        <w:tc>
          <w:tcPr>
            <w:tcW w:w="2394" w:type="dxa"/>
            <w:tcBorders/>
          </w:tcPr>
          <w:p>
            <w:pPr>
              <w:pStyle w:val="Normal"/>
              <w:jc w:val="center"/>
              <w:rPr>
                <w:rFonts w:ascii="Arial" w:hAnsi="Arial" w:cs="Arial"/>
                <w:sz w:val="24"/>
              </w:rPr>
            </w:pPr>
            <w:r>
              <w:rPr>
                <w:rFonts w:cs="Arial" w:ascii="Arial" w:hAnsi="Arial"/>
                <w:sz w:val="24"/>
              </w:rPr>
              <w:t>Friday</w:t>
            </w:r>
          </w:p>
        </w:tc>
      </w:tr>
    </w:tbl>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b/>
          <w:bCs/>
          <w:sz w:val="24"/>
        </w:rPr>
      </w:pPr>
      <w:r>
        <w:rPr>
          <w:rFonts w:cs="Arial" w:ascii="Arial" w:hAnsi="Arial"/>
          <w:b/>
          <w:bCs/>
          <w:sz w:val="24"/>
        </w:rPr>
        <w:t xml:space="preserve">For Service Under Schedule F </w:t>
      </w:r>
    </w:p>
    <w:p>
      <w:pPr>
        <w:pStyle w:val="Normal"/>
        <w:rPr>
          <w:rFonts w:ascii="Arial" w:hAnsi="Arial" w:cs="Arial"/>
          <w:b/>
          <w:bCs/>
          <w:sz w:val="24"/>
        </w:rPr>
      </w:pPr>
      <w:r>
        <w:rPr>
          <w:rFonts w:cs="Arial" w:ascii="Arial" w:hAnsi="Arial"/>
          <w:b/>
          <w:bCs/>
          <w:sz w:val="24"/>
        </w:rPr>
      </w:r>
    </w:p>
    <w:p>
      <w:pPr>
        <w:pStyle w:val="BodyText"/>
        <w:rPr/>
      </w:pPr>
      <w:r>
        <w:rPr/>
        <w:t>The Schedule F customer, as defined on the OASIS transmission reservation, is responsible for delivering energy losses on a real time basis to the Source Scheduling Participant (SSP).  The customer loss responsibility values, stated as  percentages between points on the system, are posted by the MAPP Center.  To determine the amount of loss responsibility between two points (Source and Sink) on the system, the Schedule F customer can multiply the MWh amount of the schedule by the posted percentage loss responsibility.  The resulting amount can be either positive (Increases system losses), or negative (decreases system losses).  The customer and SSP must make arrangements to account for that amount of losses.  If the resulting amount is negative, (reduces system losses) the customer must deliver the scheduled MWh (the MWh being delivered to the Point of Delivery on the MAPP Transmission System) minus the loss impact to the SSP.  If the resulting amount is positive, (increases the system losses) the customer must deliver the scheduled MWh plus the losses to the SSP.  Transmission customers and SSPs may make other arrangements to account for LRP losses.  However, in all cases the SSP will be responsible for fulfilling the LRP schedules as determined by the MAPP Center.</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Heading4"/>
        <w:ind w:hanging="0" w:start="0"/>
        <w:rPr/>
      </w:pPr>
      <w:r>
        <w:rPr/>
        <w:t>For Service Under a Member Open Access Tariff</w:t>
      </w:r>
    </w:p>
    <w:p>
      <w:pPr>
        <w:pStyle w:val="Normal"/>
        <w:rPr>
          <w:rFonts w:ascii="Arial" w:hAnsi="Arial" w:cs="Arial"/>
          <w:b/>
          <w:bCs/>
          <w:sz w:val="24"/>
        </w:rPr>
      </w:pPr>
      <w:r>
        <w:rPr>
          <w:rFonts w:cs="Arial" w:ascii="Arial" w:hAnsi="Arial"/>
          <w:b/>
          <w:bCs/>
          <w:sz w:val="24"/>
        </w:rPr>
      </w:r>
    </w:p>
    <w:p>
      <w:pPr>
        <w:pStyle w:val="Normal"/>
        <w:rPr>
          <w:rFonts w:ascii="Arial" w:hAnsi="Arial" w:cs="Arial"/>
          <w:sz w:val="24"/>
        </w:rPr>
      </w:pPr>
      <w:r>
        <w:rPr>
          <w:rFonts w:cs="Arial" w:ascii="Arial" w:hAnsi="Arial"/>
          <w:sz w:val="24"/>
        </w:rPr>
        <w:t xml:space="preserve">The transmission customer supplies losses to the Member under the Member’s OATT.    LRP losses on these energy schedules are paid by the LRP payer associated with the Source/POR or Sink/POD.  If the Source and Sink are both MAPP Members, the LRP payer associated with the Source end pays the third party losses.  If only the Sink is a MAPP Member, then the LRP payer associated with the Sink end is responsible for paying the losses.  LRP losses are not assessed on transactions where neither the Source nor the Sink is a MAPP Member.  Waivers are used to exclude Member systems from LRP when the transaction uses that Member’s OATT.   </w:t>
      </w:r>
    </w:p>
    <w:p>
      <w:pPr>
        <w:pStyle w:val="Normal"/>
        <w:autoSpaceDE w:val="false"/>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Heading4"/>
        <w:ind w:hanging="0" w:start="0"/>
        <w:rPr/>
      </w:pPr>
      <w:r>
        <w:rPr/>
        <w:t>Responsibilities of the Source Scheduling Participants</w:t>
      </w:r>
    </w:p>
    <w:p>
      <w:pPr>
        <w:pStyle w:val="Normal"/>
        <w:rPr>
          <w:rFonts w:ascii="Arial" w:hAnsi="Arial" w:cs="Arial"/>
          <w:sz w:val="24"/>
        </w:rPr>
      </w:pPr>
      <w:r>
        <w:rPr>
          <w:rFonts w:cs="Arial" w:ascii="Arial" w:hAnsi="Arial"/>
          <w:sz w:val="24"/>
        </w:rPr>
      </w:r>
    </w:p>
    <w:p>
      <w:pPr>
        <w:pStyle w:val="BodyText"/>
        <w:rPr/>
      </w:pPr>
      <w:r>
        <w:rPr/>
        <w:t>The SSP is responsible for collecting losses delivered to them from the Schedule F customer and arranging with the appropriate control area to supply the real time losses associated with those schedules for which they are the SSP.</w:t>
      </w:r>
    </w:p>
    <w:p>
      <w:pPr>
        <w:pStyle w:val="BodyText"/>
        <w:rPr/>
      </w:pPr>
      <w:r>
        <w:rPr/>
      </w:r>
    </w:p>
    <w:p>
      <w:pPr>
        <w:pStyle w:val="BodyText"/>
        <w:rPr/>
      </w:pPr>
      <w:r>
        <w:rPr/>
        <w:t>The SSP repays third party Schedule F losses one week, to the day, after the schedule.   Each day by 11:00 a.m. the MAPP Center produces and distributes a loss repayment schedule for the next day to the SSP/payers.   The SSP/payers in turn arrange with the appropriate control areas to implement these LRP schedules.  The SSP/payers can obtain  summaries and information via the MAPP MCN and web postings that provide summary information for each customer and payer.</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Page </w:t>
    </w:r>
    <w:r>
      <w:rPr/>
      <w:fldChar w:fldCharType="begin"/>
    </w:r>
    <w:r>
      <w:rPr/>
      <w:instrText xml:space="preserve"> PAGE </w:instrText>
    </w:r>
    <w:r>
      <w:rPr/>
      <w:fldChar w:fldCharType="separate"/>
    </w:r>
    <w:r>
      <w:rPr/>
      <w:t>3</w:t>
    </w:r>
    <w:r>
      <w:rPr/>
      <w:fldChar w:fldCharType="end"/>
    </w:r>
    <w:r>
      <w:rPr/>
      <w:t xml:space="preserve"> of </w:t>
    </w:r>
    <w:r>
      <w:rPr/>
      <w:fldChar w:fldCharType="begin"/>
    </w:r>
    <w:r>
      <w:rPr/>
      <w:instrText xml:space="preserve"> NUMPAGES \* ARABIC </w:instrText>
    </w:r>
    <w:r>
      <w:rPr/>
      <w:fldChar w:fldCharType="separate"/>
    </w:r>
    <w:r>
      <w:rPr/>
      <w:t>3</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jc w:val="center"/>
      <w:rPr>
        <w:b/>
        <w:bCs/>
      </w:rPr>
    </w:pPr>
    <w:r>
      <w:rPr>
        <w:b/>
        <w:bCs/>
      </w:rPr>
      <w:t>MAPP LRP Policies and Procedures</w:t>
    </w:r>
  </w:p>
  <w:p>
    <w:pPr>
      <w:pStyle w:val="BodyText"/>
      <w:jc w:val="center"/>
      <w:rPr/>
    </w:pPr>
    <w:r>
      <w:rPr/>
      <w:t>(Effective 12/18/2000)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numPr>
        <w:ilvl w:val="0"/>
        <w:numId w:val="1"/>
      </w:numPr>
      <w:overflowPunct w:val="false"/>
      <w:autoSpaceDE w:val="false"/>
      <w:spacing w:before="0" w:after="240"/>
      <w:textAlignment w:val="baseline"/>
      <w:outlineLvl w:val="0"/>
    </w:pPr>
    <w:rPr>
      <w:rFonts w:ascii="Arial" w:hAnsi="Arial" w:cs="Arial"/>
      <w:b/>
      <w:sz w:val="32"/>
    </w:rPr>
  </w:style>
  <w:style w:type="paragraph" w:styleId="Heading2">
    <w:name w:val="heading 2"/>
    <w:basedOn w:val="Normal"/>
    <w:next w:val="Normal"/>
    <w:qFormat/>
    <w:pPr>
      <w:keepNext w:val="true"/>
      <w:numPr>
        <w:ilvl w:val="1"/>
        <w:numId w:val="1"/>
      </w:numPr>
      <w:outlineLvl w:val="1"/>
    </w:pPr>
    <w:rPr/>
  </w:style>
  <w:style w:type="paragraph" w:styleId="Heading3">
    <w:name w:val="heading 3"/>
    <w:basedOn w:val="Normal"/>
    <w:next w:val="Normal"/>
    <w:qFormat/>
    <w:pPr>
      <w:keepNext w:val="true"/>
      <w:numPr>
        <w:ilvl w:val="2"/>
        <w:numId w:val="1"/>
      </w:numPr>
      <w:jc w:val="center"/>
      <w:outlineLvl w:val="2"/>
    </w:pPr>
    <w:rPr>
      <w:rFonts w:ascii="Arial" w:hAnsi="Arial" w:cs="Arial"/>
      <w:b/>
      <w:sz w:val="24"/>
    </w:rPr>
  </w:style>
  <w:style w:type="paragraph" w:styleId="Heading4">
    <w:name w:val="heading 4"/>
    <w:basedOn w:val="Normal"/>
    <w:next w:val="Normal"/>
    <w:qFormat/>
    <w:pPr>
      <w:keepNext w:val="true"/>
      <w:numPr>
        <w:ilvl w:val="3"/>
        <w:numId w:val="1"/>
      </w:numPr>
      <w:outlineLvl w:val="3"/>
    </w:pPr>
    <w:rPr>
      <w:rFonts w:ascii="Arial" w:hAnsi="Arial" w:cs="Arial"/>
      <w:b/>
      <w:bCs/>
      <w:sz w:val="24"/>
    </w:rPr>
  </w:style>
  <w:style w:type="paragraph" w:styleId="Heading5">
    <w:name w:val="heading 5"/>
    <w:basedOn w:val="Normal"/>
    <w:next w:val="Normal"/>
    <w:qFormat/>
    <w:pPr>
      <w:keepNext w:val="true"/>
      <w:numPr>
        <w:ilvl w:val="4"/>
        <w:numId w:val="1"/>
      </w:numPr>
      <w:outlineLvl w:val="4"/>
    </w:pPr>
    <w:rPr>
      <w:rFonts w:ascii="Arial" w:hAnsi="Arial" w:cs="Arial"/>
      <w:sz w:val="16"/>
    </w:rPr>
  </w:style>
  <w:style w:type="character" w:styleId="WW8Num1z0">
    <w:name w:val="WW8Num1z0"/>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bCs/>
      <w:sz w:val="24"/>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360" w:start="3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sz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2000-11-17T20:09:00Z</dcterms:created>
  <dc:creator>tsw</dc:creator>
  <dc:description/>
  <dc:language>en-CA</dc:language>
  <cp:lastModifiedBy>dsf</cp:lastModifiedBy>
  <cp:lastPrinted>2000-11-17T13:38:00Z</cp:lastPrinted>
  <dcterms:modified xsi:type="dcterms:W3CDTF">2000-11-17T20:09:00Z</dcterms:modified>
  <cp:revision>2</cp:revision>
  <dc:subject/>
  <dc:title>5</dc:title>
</cp:coreProperties>
</file>