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December 18, 2000</w:t>
      </w:r>
    </w:p>
    <w:p>
      <w:pPr>
        <w:pStyle w:val="Normal"/>
        <w:jc w:val="center"/>
        <w:rPr>
          <w:sz w:val="22"/>
        </w:rPr>
      </w:pPr>
      <w:r>
        <w:rPr>
          <w:sz w:val="22"/>
        </w:rPr>
      </w:r>
    </w:p>
    <w:p>
      <w:pPr>
        <w:pStyle w:val="Normal"/>
        <w:jc w:val="both"/>
        <w:rPr>
          <w:sz w:val="22"/>
        </w:rPr>
      </w:pPr>
      <w:r>
        <w:rPr>
          <w:sz w:val="22"/>
        </w:rPr>
        <w:t>Power Merchants Group</w:t>
      </w:r>
    </w:p>
    <w:p>
      <w:pPr>
        <w:pStyle w:val="Normal"/>
        <w:jc w:val="both"/>
        <w:rPr/>
      </w:pPr>
      <w:r>
        <w:rPr>
          <w:sz w:val="22"/>
        </w:rPr>
        <w:t>40 Wall Street, 38</w:t>
      </w:r>
      <w:r>
        <w:rPr>
          <w:sz w:val="22"/>
          <w:vertAlign w:val="superscript"/>
        </w:rPr>
        <w:t>th</w:t>
      </w:r>
      <w:r>
        <w:rPr>
          <w:sz w:val="22"/>
        </w:rPr>
        <w:t xml:space="preserve"> flr</w:t>
      </w:r>
    </w:p>
    <w:p>
      <w:pPr>
        <w:pStyle w:val="Normal"/>
        <w:jc w:val="both"/>
        <w:rPr>
          <w:sz w:val="22"/>
        </w:rPr>
      </w:pPr>
      <w:r>
        <w:rPr>
          <w:sz w:val="22"/>
        </w:rPr>
        <w:t>New York, NY 10005</w:t>
      </w:r>
    </w:p>
    <w:p>
      <w:pPr>
        <w:pStyle w:val="Normal"/>
        <w:jc w:val="both"/>
        <w:rPr>
          <w:sz w:val="22"/>
        </w:rPr>
      </w:pPr>
      <w:r>
        <w:rPr>
          <w:sz w:val="22"/>
        </w:rPr>
      </w:r>
    </w:p>
    <w:p>
      <w:pPr>
        <w:pStyle w:val="Normal"/>
        <w:jc w:val="both"/>
        <w:rPr>
          <w:sz w:val="22"/>
        </w:rPr>
      </w:pPr>
      <w:r>
        <w:rPr>
          <w:sz w:val="22"/>
        </w:rPr>
        <w:t>Attn: Kevin C. Glynn</w:t>
        <w:tab/>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Power Merchants Group  ("PMG")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PMG’s ability to execute on EnronOnline on behalf of its customers, all in accordance with the terms and conditions set forth in this letter and the attached Term Sheet (the transactions described in this letter and Term Sheet are referred to collectively as the “Transaction”).  </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PMG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PMG are unable to execute the Definitive Agreements by the Closing Date, unless extended by mutual agreement of the parties, this letter shall be deemed terminated, and neither Enron nor PMG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PMG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PMG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pPr>
      <w:r>
        <w:rPr>
          <w:sz w:val="22"/>
        </w:rPr>
        <w:t>Name:</w:t>
        <w:tab/>
      </w:r>
      <w:r>
        <w:rPr>
          <w:sz w:val="22"/>
          <w:u w:val="single"/>
        </w:rPr>
        <w:tab/>
      </w:r>
      <w:r>
        <w:rPr>
          <w:sz w:val="22"/>
        </w:rPr>
        <w:tab/>
      </w:r>
    </w:p>
    <w:p>
      <w:pPr>
        <w:pStyle w:val="Normal"/>
        <w:tabs>
          <w:tab w:val="clear" w:pos="720"/>
          <w:tab w:val="left" w:pos="5040" w:leader="none"/>
          <w:tab w:val="right" w:pos="9360" w:leader="none"/>
        </w:tabs>
        <w:ind w:start="4320" w:end="0"/>
        <w:jc w:val="both"/>
        <w:rPr/>
      </w:pPr>
      <w:r>
        <w:rPr>
          <w:sz w:val="22"/>
        </w:rPr>
        <w:t>Title:</w:t>
        <w:tab/>
      </w:r>
      <w:r>
        <w:rPr>
          <w:sz w:val="22"/>
          <w:u w:val="single"/>
        </w:rPr>
        <w:tab/>
      </w:r>
      <w:r>
        <w:rPr>
          <w:sz w:val="22"/>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 xml:space="preserve">Power Merchants Group </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jc w:val="start"/>
        <w:rPr>
          <w:sz w:val="22"/>
        </w:rPr>
      </w:pPr>
      <w:r>
        <w:rPr>
          <w:sz w:val="22"/>
        </w:rPr>
      </w:r>
    </w:p>
    <w:p>
      <w:pPr>
        <w:pStyle w:val="Heading"/>
        <w:jc w:val="start"/>
        <w:rPr/>
      </w:pPr>
      <w:r>
        <w:rPr/>
      </w:r>
    </w:p>
    <w:p>
      <w:pPr>
        <w:pStyle w:val="Heading"/>
        <w:jc w:val="start"/>
        <w:rPr/>
      </w:pPr>
      <w:r>
        <w:rPr/>
      </w:r>
    </w:p>
    <w:p>
      <w:pPr>
        <w:pStyle w:val="Heading"/>
        <w:jc w:val="start"/>
        <w:rPr/>
      </w:pPr>
      <w:r>
        <w:rPr/>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Power Merchants Group, a ___________ ("PMG") is a broker representing certain entities in connection with their transactions for the purchase or sale of energy commodities.  In the proposed transaction, Enron will permit PMG to enter into transactions with Enron through a website for the purchase and sale of energy commodities on behalf of PMG’s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PMG’s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Enron would issue to PMG, pursuant to a Fee Agreement in form and substance satisfactory to Enron (and containing certain provsions similar to the Password Applications executed by all EnronOnline customers), a Transaction ID that would allow PMG to execute transactions on the website for Specified Products (to be defined, but anticipated to </w:t>
            </w:r>
            <w:ins w:id="2" w:author="lbecker" w:date="2000-12-19T11:49:00Z">
              <w:r>
                <w:rPr>
                  <w:b w:val="false"/>
                  <w:sz w:val="22"/>
                </w:rPr>
                <w:t xml:space="preserve">include </w:t>
              </w:r>
            </w:ins>
            <w:r>
              <w:rPr>
                <w:b w:val="false"/>
                <w:sz w:val="22"/>
              </w:rPr>
              <w:t>NYMEX Natural Gas Swap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3" w:author="lbecker" w:date="2000-12-19T11:50:00Z">
              <w:r>
                <w:rPr>
                  <w:b w:val="false"/>
                  <w:sz w:val="22"/>
                </w:rPr>
                <w:delText>Online</w:delText>
              </w:r>
            </w:del>
            <w:r>
              <w:rPr>
                <w:b w:val="false"/>
                <w:sz w:val="22"/>
              </w:rPr>
              <w:t xml:space="preserve"> for a term of one year. The BETA would grant PMG the ability to execute on the website, for the benefit of specified PMG customers identified to and approved by Enron using a software application developed by Enron for this purpose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Executions initiated by PMG, on behalf and for the account of an PMG customer shall occur at the time Enron signifies acceptance of the Brokers offer on the website.  The software application would, upon an execution attempt by PMG on behalf of an PMG customer, check for available credit against the Enron database utilizing PMG customer’s credit availability.  Executions completed by PMG on the website on behalf of an PMG customer would, upon execution, bind the PMG customer to a transaction pursuant to the operative agreement between Enron and the PMG customer.  Upon execution of a transaction on </w:t>
            </w:r>
            <w:ins w:id="4" w:author="lbecker" w:date="2000-12-19T11:51:00Z">
              <w:r>
                <w:rPr>
                  <w:b w:val="false"/>
                  <w:sz w:val="22"/>
                </w:rPr>
                <w:t xml:space="preserve">the </w:t>
              </w:r>
            </w:ins>
            <w:r>
              <w:rPr>
                <w:b w:val="false"/>
                <w:sz w:val="22"/>
              </w:rPr>
              <w:t>website, the software application would identify the counterparty to the website as PMG, as well as the PMG customer. Executed transactions done on the website by PMG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PMG fails or refuses to confirm a transaction or PMG’s customer fails or refuses to accept the transaction for which PMG has made an execution</w:t>
            </w:r>
            <w:del w:id="5" w:author="lbecker" w:date="2000-12-19T11:51:00Z">
              <w:r>
                <w:rPr>
                  <w:b w:val="false"/>
                  <w:sz w:val="22"/>
                </w:rPr>
                <w:delText>,</w:delText>
              </w:r>
            </w:del>
            <w:r>
              <w:rPr>
                <w:b w:val="false"/>
                <w:sz w:val="22"/>
              </w:rPr>
              <w:t xml:space="preserve">, PMG will pay to Enron an amount equal to Enron's Liquidated Damages (to be defined in the Definitive Agreements, but essentially "breakage" costs associated with unwinding the trade and any associated hedging transactions). </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PMG’s obligations with respect to Liquidated Damages for failed assignments, PMG would deposit, in a margin account with Enron or its designated affiliate, letters of credit from a bank acceptable to Enron in an amount to be agreed and subject to adjustment from time to time based on changes in PMG’s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6" w:author="lbecker" w:date="2000-12-19T11:52:00Z">
              <w:r>
                <w:rPr>
                  <w:b w:val="false"/>
                  <w:sz w:val="22"/>
                </w:rPr>
                <w:delText xml:space="preserve">license </w:delText>
              </w:r>
            </w:del>
            <w:ins w:id="7" w:author="lbecker" w:date="2000-12-19T11:52:00Z">
              <w:r>
                <w:rPr>
                  <w:b w:val="false"/>
                  <w:sz w:val="22"/>
                </w:rPr>
                <w:t xml:space="preserve">definitive </w:t>
              </w:r>
            </w:ins>
            <w:r>
              <w:rPr>
                <w:b w:val="false"/>
                <w:sz w:val="22"/>
              </w:rPr>
              <w:t>agreement,</w:t>
            </w:r>
            <w:ins w:id="8" w:author="lbecker" w:date="2000-12-19T11:52:00Z">
              <w:r>
                <w:rPr>
                  <w:b w:val="false"/>
                  <w:sz w:val="22"/>
                </w:rPr>
                <w:t>s</w:t>
              </w:r>
            </w:ins>
            <w:r>
              <w:rPr>
                <w:b w:val="false"/>
                <w:sz w:val="22"/>
              </w:rPr>
              <w:t xml:space="preserve"> PMG would pay Enron a license fee of $100,000 and no brokerage fee or commission will be payable by Enron in connection with any transaction completed by PMG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PMG (to be negotiated, but including those included within the Electronic Transactions Agreement routinely entered into between EnronOnline and its customers).  PMG acknowledges that Enron may also require PMG to obtain certain agreements with PMG’s customers with respect to the PMG’s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PMG is not in default under the Definitive Agreements, a pro rata portion of the annual access fee will be refunded to PMG.</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PMG,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PMG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PMG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o:eol\legal documents\loi PMG.doc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2000-12-19T15:23:00Z</dcterms:created>
  <dc:creator>tmccull</dc:creator>
  <dc:description/>
  <dc:language>en-CA</dc:language>
  <cp:lastModifiedBy>lbecker</cp:lastModifiedBy>
  <cp:lastPrinted>2000-12-14T17:08:00Z</cp:lastPrinted>
  <dcterms:modified xsi:type="dcterms:W3CDTF">2000-12-19T15:37:00Z</dcterms:modified>
  <cp:revision>4</cp:revision>
  <dc:subject/>
  <dc:title>ATTACHMENT “A”</dc:title>
</cp:coreProperties>
</file>