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center"/>
        <w:rPr>
          <w:sz w:val="22"/>
        </w:rPr>
      </w:pPr>
      <w:r>
        <w:rPr>
          <w:sz w:val="22"/>
        </w:rPr>
      </w:r>
    </w:p>
    <w:p>
      <w:pPr>
        <w:pStyle w:val="Normal"/>
        <w:jc w:val="both"/>
        <w:rPr>
          <w:sz w:val="22"/>
        </w:rPr>
      </w:pPr>
      <w:r>
        <w:rPr>
          <w:sz w:val="22"/>
        </w:rPr>
        <w:t>TFS Energy, LLC</w:t>
      </w:r>
    </w:p>
    <w:p>
      <w:pPr>
        <w:pStyle w:val="Normal"/>
        <w:jc w:val="both"/>
        <w:rPr>
          <w:sz w:val="22"/>
        </w:rPr>
      </w:pPr>
      <w:r>
        <w:rPr>
          <w:sz w:val="22"/>
        </w:rPr>
        <w:t>680 Washington Blvd.</w:t>
      </w:r>
    </w:p>
    <w:p>
      <w:pPr>
        <w:pStyle w:val="Normal"/>
        <w:jc w:val="both"/>
        <w:rPr>
          <w:sz w:val="22"/>
        </w:rPr>
      </w:pPr>
      <w:r>
        <w:rPr>
          <w:sz w:val="22"/>
        </w:rPr>
        <w:t>Stamford, Connecticut  06901</w:t>
      </w:r>
    </w:p>
    <w:p>
      <w:pPr>
        <w:pStyle w:val="Normal"/>
        <w:jc w:val="both"/>
        <w:rPr>
          <w:sz w:val="22"/>
        </w:rPr>
      </w:pPr>
      <w:r>
        <w:rPr>
          <w:sz w:val="22"/>
        </w:rPr>
      </w:r>
    </w:p>
    <w:p>
      <w:pPr>
        <w:pStyle w:val="Normal"/>
        <w:jc w:val="both"/>
        <w:rPr>
          <w:sz w:val="22"/>
        </w:rPr>
      </w:pPr>
      <w:r>
        <w:rPr>
          <w:sz w:val="22"/>
        </w:rPr>
        <w:t>Attn:  Alan Kurzer, President</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Dear Mr. Kurzer:</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TFS Energy LLC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Broker’s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Broker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TFS ENERGY, LLC</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TFS Energy, LLC ("Broker") is a broker representing certain entities in connection with their transactions for the purchase or sale of energy commodities.  In the proposed transaction, Enron will permit Broker to enter into transactions with various affiliates of  Enron through a website for the purchase and sale of energy commodities on behalf of Broker’s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Broker’s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execute transactions on the website for Specified Products.</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The parties would also enter into a non-transferable, non-exclusive Broker Electronic Transaction Agreement (the "BETA") with Enron (or one of its affiliates) for a term of one year.  The BETA would grant Broker the ability to execute on the website, for the benefit of specified Broker customers identified to and approved by Enron using a software application developed by Enron for this purpose</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b w:val="false"/>
                <w:sz w:val="22"/>
              </w:rPr>
            </w:pPr>
            <w:r>
              <w:rPr>
                <w:b w:val="false"/>
                <w:sz w:val="22"/>
              </w:rPr>
              <w:t>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credit availability.  Executions completed by Broker on the website on behalf of a Broker customer would, upon execution, bind the Broker customer to a transaction pursuant to the operative agreement between the Enron trading entity and the Broker customer.  Upon execution of a transaction on the 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the event that Broker fails or refuses to confirm a transaction or Broker’s customer fails or refuses to accept the transaction for which Broker has made an execution, Broker will use its best efforts to assist in resolving any such conflict, including, but not limited to, making available to Enron  all tapes maintained by Broker of its conversations with its customers in relation to the transaction for which Broker has made an execution.  A failure of the Broker to provide such assistance may result in a termination of the BETA without reimbursement of all or any portion of the fee paid under the Fee Agreement</w:t>
            </w:r>
          </w:p>
          <w:p>
            <w:pPr>
              <w:pStyle w:val="Heading4"/>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Heading4"/>
              <w:snapToGrid w:val="false"/>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consideration for entering into the Definitive Agreements, Broker would pay Enron a license fee as set forth below and no brokerage fee or commission will be payable by Enron in connection with any transaction completed by Broker through the website.  Renewal rights and renewal fees are to be negotiated.</w:t>
            </w:r>
          </w:p>
          <w:p>
            <w:pPr>
              <w:pStyle w:val="BodyText"/>
              <w:rPr>
                <w:b w:val="false"/>
                <w:sz w:val="22"/>
              </w:rPr>
            </w:pPr>
            <w:r>
              <w:rPr>
                <w:b w:val="false"/>
                <w:sz w:val="22"/>
              </w:rPr>
            </w:r>
          </w:p>
          <w:tbl>
            <w:tblPr>
              <w:tblW w:w="6879" w:type="dxa"/>
              <w:jc w:val="start"/>
              <w:tblInd w:w="8" w:type="dxa"/>
              <w:tblLayout w:type="fixed"/>
              <w:tblCellMar>
                <w:top w:w="0" w:type="dxa"/>
                <w:start w:w="108" w:type="dxa"/>
                <w:bottom w:w="0" w:type="dxa"/>
                <w:end w:w="108" w:type="dxa"/>
              </w:tblCellMar>
            </w:tblPr>
            <w:tblGrid>
              <w:gridCol w:w="3214"/>
              <w:gridCol w:w="3665"/>
            </w:tblGrid>
            <w:tr>
              <w:trPr/>
              <w:tc>
                <w:tcPr>
                  <w:tcW w:w="3214" w:type="dxa"/>
                  <w:tcBorders/>
                </w:tcPr>
                <w:p>
                  <w:pPr>
                    <w:pStyle w:val="BodyText"/>
                    <w:rPr>
                      <w:b w:val="false"/>
                      <w:sz w:val="22"/>
                      <w:u w:val="single"/>
                    </w:rPr>
                  </w:pPr>
                  <w:r>
                    <w:rPr>
                      <w:b w:val="false"/>
                      <w:sz w:val="22"/>
                      <w:u w:val="single"/>
                    </w:rPr>
                    <w:t>Product</w:t>
                  </w:r>
                </w:p>
              </w:tc>
              <w:tc>
                <w:tcPr>
                  <w:tcW w:w="3665" w:type="dxa"/>
                  <w:tcBorders/>
                </w:tcPr>
                <w:p>
                  <w:pPr>
                    <w:pStyle w:val="BodyText"/>
                    <w:rPr>
                      <w:b w:val="false"/>
                      <w:sz w:val="22"/>
                      <w:u w:val="single"/>
                    </w:rPr>
                  </w:pPr>
                  <w:r>
                    <w:rPr>
                      <w:b w:val="false"/>
                      <w:sz w:val="22"/>
                      <w:u w:val="single"/>
                    </w:rPr>
                    <w:t>Fee</w:t>
                  </w:r>
                </w:p>
              </w:tc>
            </w:tr>
            <w:tr>
              <w:trPr/>
              <w:tc>
                <w:tcPr>
                  <w:tcW w:w="3214" w:type="dxa"/>
                  <w:tcBorders/>
                </w:tcPr>
                <w:p>
                  <w:pPr>
                    <w:pStyle w:val="BodyText"/>
                    <w:rPr>
                      <w:b w:val="false"/>
                      <w:sz w:val="22"/>
                    </w:rPr>
                  </w:pPr>
                  <w:r>
                    <w:rPr>
                      <w:b w:val="false"/>
                      <w:sz w:val="22"/>
                    </w:rPr>
                    <w:t>North American Gas and Power</w:t>
                  </w:r>
                </w:p>
              </w:tc>
              <w:tc>
                <w:tcPr>
                  <w:tcW w:w="3665" w:type="dxa"/>
                  <w:tcBorders/>
                </w:tcPr>
                <w:p>
                  <w:pPr>
                    <w:pStyle w:val="BodyText"/>
                    <w:rPr>
                      <w:b w:val="false"/>
                      <w:sz w:val="22"/>
                    </w:rPr>
                  </w:pPr>
                  <w:r>
                    <w:rPr>
                      <w:b w:val="false"/>
                      <w:sz w:val="22"/>
                    </w:rPr>
                    <w:t xml:space="preserve">$200,000 </w:t>
                  </w:r>
                  <w:r>
                    <w:rPr>
                      <w:bCs/>
                      <w:sz w:val="22"/>
                    </w:rPr>
                    <w:t>or</w:t>
                  </w:r>
                </w:p>
              </w:tc>
            </w:tr>
            <w:tr>
              <w:trPr/>
              <w:tc>
                <w:tcPr>
                  <w:tcW w:w="3214" w:type="dxa"/>
                  <w:tcBorders/>
                </w:tcPr>
                <w:p>
                  <w:pPr>
                    <w:pStyle w:val="BodyText"/>
                    <w:rPr>
                      <w:b w:val="false"/>
                      <w:sz w:val="22"/>
                    </w:rPr>
                  </w:pPr>
                  <w:r>
                    <w:rPr>
                      <w:b w:val="false"/>
                      <w:sz w:val="22"/>
                    </w:rPr>
                    <w:t>North American Gas</w:t>
                  </w:r>
                </w:p>
              </w:tc>
              <w:tc>
                <w:tcPr>
                  <w:tcW w:w="3665" w:type="dxa"/>
                  <w:tcBorders/>
                </w:tcPr>
                <w:p>
                  <w:pPr>
                    <w:pStyle w:val="BodyText"/>
                    <w:rPr>
                      <w:b w:val="false"/>
                      <w:sz w:val="22"/>
                    </w:rPr>
                  </w:pPr>
                  <w:r>
                    <w:rPr>
                      <w:b w:val="false"/>
                      <w:sz w:val="22"/>
                    </w:rPr>
                    <w:t>$150,000/+$75,000, 30 day option for North American Power</w:t>
                  </w:r>
                </w:p>
              </w:tc>
            </w:tr>
            <w:tr>
              <w:trPr/>
              <w:tc>
                <w:tcPr>
                  <w:tcW w:w="3214" w:type="dxa"/>
                  <w:tcBorders/>
                </w:tcPr>
                <w:p>
                  <w:pPr>
                    <w:pStyle w:val="BodyText"/>
                    <w:snapToGrid w:val="false"/>
                    <w:rPr>
                      <w:b w:val="false"/>
                      <w:sz w:val="22"/>
                    </w:rPr>
                  </w:pPr>
                  <w:r>
                    <w:rPr>
                      <w:b w:val="false"/>
                      <w:sz w:val="22"/>
                    </w:rPr>
                  </w:r>
                </w:p>
              </w:tc>
              <w:tc>
                <w:tcPr>
                  <w:tcW w:w="3665" w:type="dxa"/>
                  <w:tcBorders/>
                </w:tcPr>
                <w:p>
                  <w:pPr>
                    <w:pStyle w:val="BodyText"/>
                    <w:snapToGrid w:val="false"/>
                    <w:rPr>
                      <w:b w:val="false"/>
                      <w:sz w:val="22"/>
                    </w:rPr>
                  </w:pPr>
                  <w:r>
                    <w:rPr>
                      <w:b w:val="false"/>
                      <w:sz w:val="22"/>
                    </w:rPr>
                  </w:r>
                </w:p>
              </w:tc>
            </w:tr>
          </w:tbl>
          <w:p>
            <w:pPr>
              <w:pStyle w:val="Heading4"/>
              <w:ind w:hanging="0" w:start="0"/>
              <w:rPr>
                <w:b w:val="false"/>
                <w:color w:val="000000"/>
                <w:u w:val="single"/>
              </w:rPr>
            </w:pPr>
            <w:r>
              <w:rPr>
                <w:b w:val="false"/>
                <w:color w:val="000000"/>
                <w:u w:val="single"/>
              </w:rPr>
            </w:r>
          </w:p>
        </w:tc>
      </w:tr>
      <w:tr>
        <w:trPr/>
        <w:tc>
          <w:tcPr>
            <w:tcW w:w="2178" w:type="dxa"/>
            <w:tcBorders/>
          </w:tcPr>
          <w:p>
            <w:pPr>
              <w:pStyle w:val="Normal"/>
              <w:snapToGrid w:val="false"/>
              <w:jc w:val="end"/>
              <w:rPr>
                <w:b w:val="false"/>
                <w:color w:val="000000"/>
                <w:sz w:val="22"/>
                <w:u w:val="single"/>
              </w:rPr>
            </w:pPr>
            <w:r>
              <w:rPr>
                <w:b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would include other terms and provisions acceptable to Enron and Broker (to be negotiated, but including those included within the Electronic Transactions Agreement routinely entered into between EnronOnline and its customers).</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/mnt/main-storage/datasets/enron-docs/doc/loi___tfs_energy__clean5_10_01_.doc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/mnt/main-storage/datasets/enron-docs/doc/loi___tfs_energy__clean5_10_01_.doc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TFS Energy, LLC</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2001-05-10T16:21:00Z</dcterms:created>
  <dc:creator>tmccull</dc:creator>
  <dc:description/>
  <dc:language>en-CA</dc:language>
  <cp:lastModifiedBy>mgreenbe</cp:lastModifiedBy>
  <cp:lastPrinted>2001-05-07T14:26:00Z</cp:lastPrinted>
  <dcterms:modified xsi:type="dcterms:W3CDTF">2001-05-10T16:22:00Z</dcterms:modified>
  <cp:revision>3</cp:revision>
  <dc:subject/>
  <dc:title>ATTACHMENT “A”</dc:title>
</cp:coreProperties>
</file>