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___,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General Electric Company (the “</w:t>
      </w:r>
      <w:r>
        <w:rPr>
          <w:u w:val="single"/>
        </w:rPr>
        <w:t>Facility Agreement</w:t>
      </w:r>
      <w:r>
        <w:rPr/>
        <w:t>”), rights and obligations associated with the purchase of one LM6000 enhanced SPRINT dual-fuel combustion turbine generator set (the “</w:t>
      </w:r>
      <w:r>
        <w:rPr>
          <w:u w:val="single"/>
        </w:rPr>
        <w:t>Subject Unit</w:t>
      </w:r>
      <w:r>
        <w:rPr/>
        <w:t>”) from General Electric Company.</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TEH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other than that associated with the acquisition, ownership, operation, administration and disposition of the Subject Unit;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w:t>
      </w:r>
    </w:p>
    <w:p>
      <w:pPr>
        <w:pStyle w:val="Normal"/>
        <w:widowControl/>
        <w:rPr/>
      </w:pPr>
      <w:r>
        <w:rPr/>
      </w:r>
    </w:p>
    <w:p>
      <w:pPr>
        <w:pStyle w:val="Normal"/>
        <w:widowControl/>
        <w:ind w:firstLine="1440" w:end="0"/>
        <w:rPr/>
      </w:pPr>
      <w:r>
        <w:rPr/>
        <w:t>(d)</w:t>
        <w:tab/>
        <w:t>the approval of any amendments, modifications or supplements to, or transfers or assignments of, the Facility Agreement; or</w:t>
      </w:r>
    </w:p>
    <w:p>
      <w:pPr>
        <w:pStyle w:val="Normal"/>
        <w:widowControl/>
        <w:rPr/>
      </w:pPr>
      <w:r>
        <w:rPr/>
      </w:r>
    </w:p>
    <w:p>
      <w:pPr>
        <w:pStyle w:val="Normal"/>
        <w:widowControl/>
        <w:ind w:firstLine="1440" w:end="0"/>
        <w:rPr/>
      </w:pPr>
      <w:r>
        <w:rPr/>
        <w:t>(e)</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rPr/>
      </w:pPr>
      <w:r>
        <w:rPr/>
      </w:r>
    </w:p>
    <w:p>
      <w:pPr>
        <w:pStyle w:val="Normal"/>
        <w:widowControl/>
        <w:ind w:firstLine="720" w:end="0"/>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is to an Affiliate of the transferring Member; or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TEH shall have the right in its sole discretion to purchase ENA’s entire current interest in the Company (the “</w:t>
      </w:r>
      <w:r>
        <w:rPr>
          <w:u w:val="single"/>
        </w:rPr>
        <w:t>Call Right</w:t>
      </w:r>
      <w:r>
        <w:rPr/>
        <w:t>”) at any time following (i) the point at which the Subject Unit achieves Commercial Operation (as defined in the Facility Agreement)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ind w:firstLine="1440" w:end="0"/>
        <w:rPr/>
      </w:pPr>
      <w:r>
        <w:rPr/>
      </w:r>
    </w:p>
    <w:p>
      <w:pPr>
        <w:pStyle w:val="Normal"/>
        <w:widowControl/>
        <w:ind w:firstLine="1440" w:end="0"/>
        <w:rPr/>
      </w:pPr>
      <w:r>
        <w:rPr/>
        <w:t>(c)</w:t>
        <w:tab/>
        <w:t>ENA shall have the right in its sole discretion to require TEH to purchase the entire interest of ENA in the Company (the “</w:t>
      </w:r>
      <w:r>
        <w:rPr>
          <w:u w:val="single"/>
        </w:rPr>
        <w:t>Put Right</w:t>
      </w:r>
      <w:r>
        <w:rPr/>
        <w:t>”) at any time following the point at which the Subject Unit achieves Commercial Operation (as defined in the Facility Agreement).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ind w:firstLine="1440" w:end="0"/>
        <w:rPr/>
      </w:pPr>
      <w:r>
        <w:rPr/>
      </w:r>
    </w:p>
    <w:p>
      <w:pPr>
        <w:pStyle w:val="Normal"/>
        <w:widowControl/>
        <w:ind w:firstLine="1440" w:end="0"/>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DISPUTE RESOLUTION</w:t>
      </w:r>
    </w:p>
    <w:p>
      <w:pPr>
        <w:pStyle w:val="Normal"/>
        <w:keepNext w:val="true"/>
        <w:widowControl/>
        <w:rPr/>
      </w:pPr>
      <w:r>
        <w:rPr/>
      </w:r>
    </w:p>
    <w:p>
      <w:pPr>
        <w:pStyle w:val="Normal"/>
        <w:keepNext w:val="true"/>
        <w:widowControl/>
        <w:ind w:firstLine="720" w:end="0"/>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rPr/>
      </w:pPr>
      <w:r>
        <w:rPr/>
      </w:r>
    </w:p>
    <w:p>
      <w:pPr>
        <w:pStyle w:val="Normal"/>
        <w:widowControl/>
        <w:ind w:firstLine="720" w:end="0"/>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rPr/>
      </w:pPr>
      <w:r>
        <w:rPr/>
      </w:r>
    </w:p>
    <w:p>
      <w:pPr>
        <w:pStyle w:val="Normal"/>
        <w:widowControl/>
        <w:ind w:firstLine="720" w:start="1440" w:end="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rPr/>
      </w:pPr>
      <w:r>
        <w:rPr/>
      </w:r>
    </w:p>
    <w:p>
      <w:pPr>
        <w:pStyle w:val="Normal"/>
        <w:widowControl/>
        <w:ind w:firstLine="720" w:start="1440" w:end="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rPr/>
      </w:pPr>
      <w:r>
        <w:rPr/>
      </w:r>
    </w:p>
    <w:p>
      <w:pPr>
        <w:pStyle w:val="Normal"/>
        <w:widowControl/>
        <w:ind w:firstLine="720" w:start="1440" w:end="0"/>
        <w:rPr/>
      </w:pPr>
      <w:r>
        <w:rPr/>
        <w:t>(iii)</w:t>
        <w:tab/>
        <w:t>After the arbitration demand and response have been exchanged, a three-member arbitration panel shall be selected as follows:</w:t>
      </w:r>
    </w:p>
    <w:p>
      <w:pPr>
        <w:pStyle w:val="Normal"/>
        <w:widowControl/>
        <w:rPr/>
      </w:pPr>
      <w:r>
        <w:rPr/>
      </w:r>
    </w:p>
    <w:p>
      <w:pPr>
        <w:pStyle w:val="Normal"/>
        <w:widowControl/>
        <w:ind w:firstLine="720" w:start="2160" w:end="0"/>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rPr/>
      </w:pPr>
      <w:r>
        <w:rPr/>
      </w:r>
    </w:p>
    <w:p>
      <w:pPr>
        <w:pStyle w:val="Normal"/>
        <w:widowControl/>
        <w:ind w:firstLine="720" w:start="2160" w:end="0"/>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rPr/>
      </w:pPr>
      <w:r>
        <w:rPr/>
      </w:r>
    </w:p>
    <w:p>
      <w:pPr>
        <w:pStyle w:val="Normal"/>
        <w:widowControl/>
        <w:ind w:firstLine="720" w:start="2160" w:end="0"/>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rPr/>
      </w:pPr>
      <w:r>
        <w:rPr/>
      </w:r>
    </w:p>
    <w:p>
      <w:pPr>
        <w:pStyle w:val="Normal"/>
        <w:widowControl/>
        <w:ind w:firstLine="720" w:start="1440" w:end="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rPr/>
      </w:pPr>
      <w:r>
        <w:rPr/>
      </w:r>
    </w:p>
    <w:p>
      <w:pPr>
        <w:pStyle w:val="Normal"/>
        <w:widowControl/>
        <w:ind w:firstLine="720" w:start="1440" w:end="0"/>
        <w:rPr/>
      </w:pPr>
      <w:r>
        <w:rPr/>
        <w:t>(v)</w:t>
        <w:tab/>
        <w:t>Within thirty (30) days after the final appointment to the arbitration panel, the arbitration hearing shall proceed, subject to the following requirements and procedures:</w:t>
      </w:r>
    </w:p>
    <w:p>
      <w:pPr>
        <w:pStyle w:val="Normal"/>
        <w:widowControl/>
        <w:rPr/>
      </w:pPr>
      <w:r>
        <w:rPr/>
      </w:r>
    </w:p>
    <w:p>
      <w:pPr>
        <w:pStyle w:val="Normal"/>
        <w:widowControl/>
        <w:ind w:firstLine="720" w:start="2160" w:end="0"/>
        <w:rPr/>
      </w:pPr>
      <w:r>
        <w:rPr/>
        <w:t>(1)</w:t>
        <w:tab/>
        <w:t>The arbitration hearing shall be held in Wilmington, Delaware, at a location mutually agreed by the Members, or failing such agreement, at a location determined by the arbitration panel;</w:t>
      </w:r>
    </w:p>
    <w:p>
      <w:pPr>
        <w:pStyle w:val="Normal"/>
        <w:widowControl/>
        <w:rPr/>
      </w:pPr>
      <w:r>
        <w:rPr/>
      </w:r>
    </w:p>
    <w:p>
      <w:pPr>
        <w:pStyle w:val="Normal"/>
        <w:widowControl/>
        <w:ind w:firstLine="720" w:start="2160" w:end="0"/>
        <w:rPr/>
      </w:pPr>
      <w:r>
        <w:rPr/>
        <w:t>(2)</w:t>
        <w:tab/>
        <w:t>Strict rules of evidence shall not be applied in the arbitration hearing.  The parties may offer such evidence as they desire and the arbitrators shall accept such evidence and accord it such weight as the arbitrators deem appropriate.  Cross</w:t>
        <w:noBreakHyphen/>
        <w:t>examination of witnesses and rebuttal testimony shall be permitted; and</w:t>
      </w:r>
    </w:p>
    <w:p>
      <w:pPr>
        <w:pStyle w:val="Normal"/>
        <w:widowControl/>
        <w:rPr/>
      </w:pPr>
      <w:r>
        <w:rPr/>
      </w:r>
    </w:p>
    <w:p>
      <w:pPr>
        <w:pStyle w:val="Normal"/>
        <w:widowControl/>
        <w:ind w:firstLine="720" w:start="2160" w:end="0"/>
        <w:rPr/>
      </w:pPr>
      <w:r>
        <w:rPr/>
        <w:t>(3)</w:t>
        <w:tab/>
        <w:t>Each Member may, but is not required to, submit one (1) pre</w:t>
        <w:noBreakHyphen/>
        <w:t>arbitration hearing brief (of not more than ten (10) pages (excluding exhibits)) no later than five (5) days prior to commencement of the arbitration hearing, and may also submit one (1) post</w:t>
        <w:noBreakHyphen/>
        <w: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rPr/>
      </w:pPr>
      <w:r>
        <w:rPr/>
      </w:r>
    </w:p>
    <w:p>
      <w:pPr>
        <w:pStyle w:val="Normal"/>
        <w:widowControl/>
        <w:ind w:firstLine="720" w:start="1440" w:end="0"/>
        <w:rPr/>
      </w:pPr>
      <w:r>
        <w:rPr/>
        <w:t>(vi)</w:t>
        <w:tab/>
        <w:t>After submission of any post</w:t>
        <w:noBreakHyphen/>
        <w:t>arbitration hearing briefs and within thirty (30) days after the close of the arbitration hearing, the arbitrators shall render an award upon a majority vote, subject to the following requirements and procedures:</w:t>
      </w:r>
    </w:p>
    <w:p>
      <w:pPr>
        <w:pStyle w:val="Normal"/>
        <w:widowControl/>
        <w:rPr/>
      </w:pPr>
      <w:r>
        <w:rPr/>
      </w:r>
    </w:p>
    <w:p>
      <w:pPr>
        <w:pStyle w:val="Normal"/>
        <w:widowControl/>
        <w:ind w:firstLine="720" w:start="2160" w:end="0"/>
        <w:rPr/>
      </w:pPr>
      <w:r>
        <w:rPr/>
        <w:t>(1)</w:t>
        <w:tab/>
        <w:t>The arbitration panel shall weigh evidence and make its award, taking into account, to the extent it deems applicable, custom and usage of the Company’s industry;</w:t>
      </w:r>
    </w:p>
    <w:p>
      <w:pPr>
        <w:pStyle w:val="Normal"/>
        <w:widowControl/>
        <w:rPr/>
      </w:pPr>
      <w:r>
        <w:rPr/>
      </w:r>
    </w:p>
    <w:p>
      <w:pPr>
        <w:pStyle w:val="Normal"/>
        <w:widowControl/>
        <w:ind w:firstLine="720" w:start="2160" w:end="0"/>
        <w:rPr/>
      </w:pPr>
      <w:r>
        <w:rPr/>
        <w:t>(2)</w:t>
        <w:tab/>
        <w:t>The arbitration panel’s award shall be issued in writing and shall state the factual bases and reasoning of the award; and,</w:t>
      </w:r>
    </w:p>
    <w:p>
      <w:pPr>
        <w:pStyle w:val="Normal"/>
        <w:widowControl/>
        <w:rPr/>
      </w:pPr>
      <w:r>
        <w:rPr/>
      </w:r>
    </w:p>
    <w:p>
      <w:pPr>
        <w:pStyle w:val="Normal"/>
        <w:widowControl/>
        <w:ind w:firstLine="720" w:start="2160" w:end="0"/>
        <w:rPr/>
      </w:pPr>
      <w:r>
        <w:rPr/>
        <w:t>(3)</w:t>
        <w:tab/>
        <w:t>The arbitrators may award costs of the arbitration proceeding, excluding attorneys’ fees and also excluding the costs apportioned pursuant to clause (vii) below.</w:t>
      </w:r>
    </w:p>
    <w:p>
      <w:pPr>
        <w:pStyle w:val="Normal"/>
        <w:widowControl/>
        <w:rPr/>
      </w:pPr>
      <w:r>
        <w:rPr/>
      </w:r>
    </w:p>
    <w:p>
      <w:pPr>
        <w:pStyle w:val="Normal"/>
        <w:widowControl/>
        <w:ind w:firstLine="720" w:start="1440" w:end="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w:t>
        <w:noBreakHyphen/>
        <w:t>selected arbitrator.</w:t>
      </w:r>
    </w:p>
    <w:p>
      <w:pPr>
        <w:pStyle w:val="Normal"/>
        <w:widowControl/>
        <w:rPr/>
      </w:pPr>
      <w:r>
        <w:rPr/>
      </w:r>
    </w:p>
    <w:p>
      <w:pPr>
        <w:pStyle w:val="Normal"/>
        <w:widowControl/>
        <w:ind w:firstLine="720" w:start="1440" w:end="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rPr/>
      </w:pPr>
      <w:r>
        <w:rPr/>
      </w:r>
    </w:p>
    <w:p>
      <w:pPr>
        <w:pStyle w:val="Normal"/>
        <w:widowControl/>
        <w:ind w:firstLine="720" w:start="1440" w:end="0"/>
        <w:rPr/>
      </w:pPr>
      <w:r>
        <w:rPr/>
        <w:t>(ix)</w:t>
        <w:tab/>
        <w:t>All time limits stated in this section are for the convenience of the Members and may be altered upon mutual agreement of the parties.</w:t>
      </w:r>
    </w:p>
    <w:p>
      <w:pPr>
        <w:pStyle w:val="Normal"/>
        <w:widowControl/>
        <w:rPr/>
      </w:pPr>
      <w:r>
        <w:rPr/>
      </w:r>
    </w:p>
    <w:p>
      <w:pPr>
        <w:pStyle w:val="Normal"/>
        <w:widowControl/>
        <w:ind w:firstLine="1440" w:end="0"/>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LLC</w:t>
      </w:r>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________________</w:t>
      </w:r>
    </w:p>
    <w:p>
      <w:pPr>
        <w:pStyle w:val="Normal"/>
        <w:widowControl/>
        <w:rPr/>
      </w:pPr>
      <w:r>
        <w:rPr/>
      </w:r>
    </w:p>
    <w:p>
      <w:pPr>
        <w:pStyle w:val="Normal"/>
        <w:widowControl/>
        <w:ind w:firstLine="1440" w:end="0"/>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rPr/>
      </w:pPr>
      <w:r>
        <w:rPr/>
      </w:r>
    </w:p>
    <w:p>
      <w:pPr>
        <w:pStyle w:val="Normal"/>
        <w:widowControl/>
        <w:ind w:firstLine="720" w:end="0"/>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11.15</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TEJAS ENERGY N S HOLDING, LLC</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____, 2000.</w:t>
      </w:r>
    </w:p>
    <w:p>
      <w:pPr>
        <w:pStyle w:val="Normal"/>
        <w:widowControl/>
        <w:rPr/>
      </w:pPr>
      <w:r>
        <w:rPr/>
      </w:r>
    </w:p>
    <w:p>
      <w:pPr>
        <w:pStyle w:val="Normal"/>
        <w:widowControl/>
        <w:ind w:firstLine="1440" w:end="0"/>
        <w:rPr/>
      </w:pPr>
      <w:r>
        <w:rPr/>
        <w:t>“</w:t>
      </w:r>
      <w:r>
        <w:rPr>
          <w:u w:val="single"/>
        </w:rPr>
        <w:t>Claim</w:t>
      </w:r>
      <w:r>
        <w:rPr/>
        <w:t>” is defined in Section 10(a).</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Employees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Response Period</w:t>
      </w:r>
      <w:r>
        <w:rPr/>
        <w:t xml:space="preserve">” is defined in Section 10(b)(ii).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Rules</w:t>
      </w:r>
      <w:r>
        <w:rPr/>
        <w:t>” is defined in Section 10(a).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w:t>
        <w:noBreakHyphen/>
        <w:t>how proprietary to TEH, that is disclosed to ENA by TEH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3">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2000-12-01T14:45:00Z</dcterms:created>
  <dc:creator>Carolyn Campbell</dc:creator>
  <dc:description>Houston-128540 v3</dc:description>
  <dc:language>en-CA</dc:language>
  <cp:lastModifiedBy>kmann</cp:lastModifiedBy>
  <cp:lastPrinted>2000-11-30T09:48:00Z</cp:lastPrinted>
  <dcterms:modified xsi:type="dcterms:W3CDTF">2000-12-01T14:45:00Z</dcterms:modified>
  <cp:revision>2</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