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Can Fibre Lackawanna</w:t>
      </w:r>
    </w:p>
    <w:p>
      <w:pPr>
        <w:pStyle w:val="Normal"/>
        <w:jc w:val="center"/>
        <w:rPr>
          <w:sz w:val="24"/>
        </w:rPr>
      </w:pPr>
      <w:r>
        <w:rPr>
          <w:sz w:val="24"/>
        </w:rPr>
        <w:t>Letter of Credit Analysis</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BodyText"/>
        <w:numPr>
          <w:ilvl w:val="0"/>
          <w:numId w:val="7"/>
        </w:numPr>
        <w:rPr/>
      </w:pPr>
      <w:r>
        <w:rPr/>
        <w:t>Loan Agreement – Section 3.1(c).  On the Closing Date, Enron is to provide the First Stabilization Letter of Credit in the amount of $3 million.  Enron is to cause this Letter of Credit to increase by an additional $4.5 million on the Completion Date.</w:t>
      </w:r>
    </w:p>
    <w:p>
      <w:pPr>
        <w:pStyle w:val="Normal"/>
        <w:jc w:val="both"/>
        <w:rPr>
          <w:sz w:val="24"/>
        </w:rPr>
      </w:pPr>
      <w:r>
        <w:rPr>
          <w:sz w:val="24"/>
        </w:rPr>
      </w:r>
    </w:p>
    <w:p>
      <w:pPr>
        <w:pStyle w:val="Normal"/>
        <w:numPr>
          <w:ilvl w:val="0"/>
          <w:numId w:val="7"/>
        </w:numPr>
        <w:jc w:val="both"/>
        <w:rPr>
          <w:sz w:val="24"/>
        </w:rPr>
      </w:pPr>
      <w:r>
        <w:rPr>
          <w:sz w:val="24"/>
        </w:rPr>
        <w:t>Loan Agreement – Section 2.2(b).  Definition of Completion Date.</w:t>
      </w:r>
    </w:p>
    <w:p>
      <w:pPr>
        <w:pStyle w:val="Normal"/>
        <w:jc w:val="both"/>
        <w:rPr>
          <w:sz w:val="24"/>
        </w:rPr>
      </w:pPr>
      <w:r>
        <w:rPr>
          <w:sz w:val="24"/>
        </w:rPr>
      </w:r>
    </w:p>
    <w:p>
      <w:pPr>
        <w:pStyle w:val="Normal"/>
        <w:numPr>
          <w:ilvl w:val="0"/>
          <w:numId w:val="4"/>
        </w:numPr>
        <w:jc w:val="both"/>
        <w:rPr>
          <w:sz w:val="24"/>
        </w:rPr>
      </w:pPr>
      <w:r>
        <w:rPr>
          <w:sz w:val="24"/>
        </w:rPr>
        <w:t>Certificate of Authorized Representative of Company (See Attachment A).</w:t>
      </w:r>
    </w:p>
    <w:p>
      <w:pPr>
        <w:pStyle w:val="Normal"/>
        <w:numPr>
          <w:ilvl w:val="0"/>
          <w:numId w:val="4"/>
        </w:numPr>
        <w:jc w:val="both"/>
        <w:rPr>
          <w:sz w:val="24"/>
        </w:rPr>
      </w:pPr>
      <w:r>
        <w:rPr>
          <w:sz w:val="24"/>
        </w:rPr>
        <w:t>Certificate of Independent Consultant (See Attachment B).</w:t>
      </w:r>
    </w:p>
    <w:p>
      <w:pPr>
        <w:pStyle w:val="Normal"/>
        <w:numPr>
          <w:ilvl w:val="0"/>
          <w:numId w:val="4"/>
        </w:numPr>
        <w:jc w:val="both"/>
        <w:rPr>
          <w:sz w:val="24"/>
        </w:rPr>
      </w:pPr>
      <w:r>
        <w:rPr>
          <w:sz w:val="24"/>
        </w:rPr>
        <w:t>Certificate of Occupancy, etc.</w:t>
      </w:r>
    </w:p>
    <w:p>
      <w:pPr>
        <w:pStyle w:val="Normal"/>
        <w:numPr>
          <w:ilvl w:val="0"/>
          <w:numId w:val="4"/>
        </w:numPr>
        <w:jc w:val="both"/>
        <w:rPr>
          <w:sz w:val="24"/>
        </w:rPr>
      </w:pPr>
      <w:r>
        <w:rPr>
          <w:sz w:val="24"/>
        </w:rPr>
        <w:t>Copies of lien waivers, etc.</w:t>
      </w:r>
    </w:p>
    <w:p>
      <w:pPr>
        <w:pStyle w:val="Normal"/>
        <w:numPr>
          <w:ilvl w:val="0"/>
          <w:numId w:val="4"/>
        </w:numPr>
        <w:jc w:val="both"/>
        <w:rPr>
          <w:sz w:val="24"/>
        </w:rPr>
      </w:pPr>
      <w:r>
        <w:rPr>
          <w:sz w:val="24"/>
        </w:rPr>
        <w:t>A survey of the site.</w:t>
      </w:r>
    </w:p>
    <w:p>
      <w:pPr>
        <w:pStyle w:val="Normal"/>
        <w:numPr>
          <w:ilvl w:val="0"/>
          <w:numId w:val="4"/>
        </w:numPr>
        <w:jc w:val="both"/>
        <w:rPr>
          <w:sz w:val="24"/>
        </w:rPr>
      </w:pPr>
      <w:r>
        <w:rPr>
          <w:sz w:val="24"/>
        </w:rPr>
        <w:t>Final endorsement of title insurance.</w:t>
      </w:r>
    </w:p>
    <w:p>
      <w:pPr>
        <w:pStyle w:val="Normal"/>
        <w:numPr>
          <w:ilvl w:val="0"/>
          <w:numId w:val="4"/>
        </w:numPr>
        <w:jc w:val="both"/>
        <w:rPr>
          <w:sz w:val="24"/>
        </w:rPr>
      </w:pPr>
      <w:r>
        <w:rPr>
          <w:sz w:val="24"/>
        </w:rPr>
        <w:t xml:space="preserve">Certificate of the Independent Consultant stating (i) Total Facility Expenditures, (ii) Estimated Cost to complete the facility, (iii) </w:t>
      </w:r>
      <w:r>
        <w:rPr>
          <w:sz w:val="24"/>
          <w:u w:val="single"/>
        </w:rPr>
        <w:t>that the Estimated Cost to complete the facility is not in excess of amounts retained in the Capitalized Interest Subaccount, Construction Subaccount of the Series 1998 Account of the Construction Fund, the Construction Loan Account of the Construction Fund and the Equity Contribution Account of the Construction Fund (See Attachment C), and (iv) that all conditions precedent to FR Completion have been satisfied in accordance with the EPC Contract (See Attachment D).</w:t>
      </w:r>
    </w:p>
    <w:p>
      <w:pPr>
        <w:pStyle w:val="Normal"/>
        <w:jc w:val="both"/>
        <w:rPr>
          <w:sz w:val="24"/>
          <w:u w:val="single"/>
        </w:rPr>
      </w:pPr>
      <w:r>
        <w:rPr>
          <w:sz w:val="24"/>
          <w:u w:val="single"/>
        </w:rPr>
      </w:r>
    </w:p>
    <w:p>
      <w:pPr>
        <w:pStyle w:val="BodyText"/>
        <w:numPr>
          <w:ilvl w:val="0"/>
          <w:numId w:val="7"/>
        </w:numPr>
        <w:rPr/>
      </w:pPr>
      <w:r>
        <w:rPr/>
        <w:t>Loan Agreement – Section 2.2(c).  If the EPC Contract is terminated, within 180 days      after termination, (I) the Company shall enter into one or more agreements providing for completion of the Facility and (ii) the Company shall furnish Enron (x) copies of such agreements and (y) a certificate of the Independent Consultant that states the Estimate Costs to Complete the Facility based on such agreements, and that such estimate is not in excess of the Funds Available (Section 5.3(e) of the Indenture – basically funds deposited by the Company with the Trustee).  Upon completion of the above requirements, Enron and the Company are to amend the provisions of FR Completion – provided such provisions are to be as nearly as close to the provisions in the original EPC Contract.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t>Attachment A</w:t>
      </w:r>
    </w:p>
    <w:p>
      <w:pPr>
        <w:pStyle w:val="BodyText"/>
        <w:jc w:val="center"/>
        <w:rPr/>
      </w:pPr>
      <w:r>
        <w:rPr/>
        <w:t>Certificate of Authorized Representative</w:t>
      </w:r>
    </w:p>
    <w:p>
      <w:pPr>
        <w:pStyle w:val="BodyText"/>
        <w:jc w:val="center"/>
        <w:rPr/>
      </w:pPr>
      <w:r>
        <w:rPr/>
      </w:r>
    </w:p>
    <w:p>
      <w:pPr>
        <w:pStyle w:val="BodyText"/>
        <w:numPr>
          <w:ilvl w:val="0"/>
          <w:numId w:val="5"/>
        </w:numPr>
        <w:rPr/>
      </w:pPr>
      <w:r>
        <w:rPr/>
        <w:t>Date of completion of facility.</w:t>
      </w:r>
    </w:p>
    <w:p>
      <w:pPr>
        <w:pStyle w:val="BodyText"/>
        <w:numPr>
          <w:ilvl w:val="0"/>
          <w:numId w:val="5"/>
        </w:numPr>
        <w:rPr/>
      </w:pPr>
      <w:r>
        <w:rPr/>
        <w:t>The facility has been completed in a first-class manner.</w:t>
      </w:r>
    </w:p>
    <w:p>
      <w:pPr>
        <w:pStyle w:val="BodyText"/>
        <w:numPr>
          <w:ilvl w:val="0"/>
          <w:numId w:val="5"/>
        </w:numPr>
        <w:rPr/>
      </w:pPr>
      <w:r>
        <w:rPr/>
        <w:t>All labor, services, etc. have been paid for except for amounts retained by the Trustee to pay costs not than due and payable.</w:t>
      </w:r>
    </w:p>
    <w:p>
      <w:pPr>
        <w:pStyle w:val="BodyText"/>
        <w:numPr>
          <w:ilvl w:val="0"/>
          <w:numId w:val="5"/>
        </w:numPr>
        <w:rPr/>
      </w:pPr>
      <w:r>
        <w:rPr/>
        <w:t>All facilities necessary for the facility to operate have been completed.</w:t>
      </w:r>
    </w:p>
    <w:p>
      <w:pPr>
        <w:pStyle w:val="BodyText"/>
        <w:numPr>
          <w:ilvl w:val="0"/>
          <w:numId w:val="5"/>
        </w:numPr>
        <w:rPr/>
      </w:pPr>
      <w:r>
        <w:rPr/>
        <w:t>All property is subject to the lien of the mortgage.</w:t>
      </w:r>
    </w:p>
    <w:p>
      <w:pPr>
        <w:pStyle w:val="BodyText"/>
        <w:numPr>
          <w:ilvl w:val="0"/>
          <w:numId w:val="5"/>
        </w:numPr>
        <w:rPr/>
      </w:pPr>
      <w:r>
        <w:rPr/>
        <w:t>All collateral is subject to the security documents.</w:t>
      </w:r>
    </w:p>
    <w:p>
      <w:pPr>
        <w:pStyle w:val="BodyText"/>
        <w:numPr>
          <w:ilvl w:val="0"/>
          <w:numId w:val="5"/>
        </w:numPr>
        <w:rPr/>
      </w:pPr>
      <w:r>
        <w:rPr/>
        <w:t>The facility is ready for occupancy and use.</w:t>
      </w:r>
    </w:p>
    <w:p>
      <w:pPr>
        <w:pStyle w:val="BodyText"/>
        <w:numPr>
          <w:ilvl w:val="0"/>
          <w:numId w:val="5"/>
        </w:numPr>
        <w:rPr/>
      </w:pPr>
      <w:r>
        <w:rPr/>
        <w:t>That all permits have been obtained and comply with all legal requirements.</w:t>
      </w:r>
    </w:p>
    <w:p>
      <w:pPr>
        <w:pStyle w:val="BodyText"/>
        <w:numPr>
          <w:ilvl w:val="0"/>
          <w:numId w:val="5"/>
        </w:numPr>
        <w:rPr/>
      </w:pPr>
      <w:r>
        <w:rPr/>
        <w:t>That neither the facility nor the company is in violation of any legal requirement.</w:t>
      </w:r>
    </w:p>
    <w:p>
      <w:pPr>
        <w:pStyle w:val="BodyText"/>
        <w:numPr>
          <w:ilvl w:val="0"/>
          <w:numId w:val="5"/>
        </w:numPr>
        <w:rPr/>
      </w:pPr>
      <w:r>
        <w:rPr/>
        <w:t>The amount required to pay any remaining costs.</w:t>
      </w:r>
    </w:p>
    <w:p>
      <w:pPr>
        <w:pStyle w:val="Normal"/>
        <w:jc w:val="both"/>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ind w:hanging="0" w:start="0"/>
        <w:rPr/>
      </w:pPr>
      <w:r>
        <w:rPr/>
        <w:t>Attachment B</w:t>
      </w:r>
    </w:p>
    <w:p>
      <w:pPr>
        <w:pStyle w:val="Heading1"/>
        <w:ind w:hanging="0" w:start="0"/>
        <w:rPr/>
      </w:pPr>
      <w:r>
        <w:rPr/>
        <w:t>Certificate of Independent Consultant</w:t>
      </w:r>
    </w:p>
    <w:p>
      <w:pPr>
        <w:pStyle w:val="Normal"/>
        <w:jc w:val="center"/>
        <w:rPr>
          <w:sz w:val="24"/>
        </w:rPr>
      </w:pPr>
      <w:r>
        <w:rPr>
          <w:sz w:val="24"/>
        </w:rPr>
      </w:r>
    </w:p>
    <w:p>
      <w:pPr>
        <w:pStyle w:val="BodyText"/>
        <w:numPr>
          <w:ilvl w:val="0"/>
          <w:numId w:val="6"/>
        </w:numPr>
        <w:rPr/>
      </w:pPr>
      <w:r>
        <w:rPr/>
        <w:t>The date of completion of the facility.</w:t>
      </w:r>
    </w:p>
    <w:p>
      <w:pPr>
        <w:pStyle w:val="Normal"/>
        <w:numPr>
          <w:ilvl w:val="0"/>
          <w:numId w:val="6"/>
        </w:numPr>
        <w:jc w:val="both"/>
        <w:rPr>
          <w:sz w:val="24"/>
        </w:rPr>
      </w:pPr>
      <w:r>
        <w:rPr>
          <w:sz w:val="24"/>
        </w:rPr>
        <w:t>The facility has been completed in a first-class manner.</w:t>
      </w:r>
    </w:p>
    <w:p>
      <w:pPr>
        <w:pStyle w:val="Normal"/>
        <w:numPr>
          <w:ilvl w:val="0"/>
          <w:numId w:val="6"/>
        </w:numPr>
        <w:jc w:val="both"/>
        <w:rPr>
          <w:sz w:val="24"/>
        </w:rPr>
      </w:pPr>
      <w:r>
        <w:rPr>
          <w:sz w:val="24"/>
        </w:rPr>
        <w:t>All facilities necessary for the facility to commence commercial operation have been completed.</w:t>
      </w:r>
    </w:p>
    <w:p>
      <w:pPr>
        <w:pStyle w:val="Normal"/>
        <w:numPr>
          <w:ilvl w:val="0"/>
          <w:numId w:val="6"/>
        </w:numPr>
        <w:jc w:val="both"/>
        <w:rPr>
          <w:sz w:val="24"/>
        </w:rPr>
      </w:pPr>
      <w:r>
        <w:rPr>
          <w:sz w:val="24"/>
        </w:rPr>
        <w:t>The facility is ready for occupancy.</w:t>
      </w:r>
    </w:p>
    <w:p>
      <w:pPr>
        <w:pStyle w:val="Normal"/>
        <w:numPr>
          <w:ilvl w:val="0"/>
          <w:numId w:val="6"/>
        </w:numPr>
        <w:jc w:val="both"/>
        <w:rPr>
          <w:sz w:val="24"/>
        </w:rPr>
      </w:pPr>
      <w:r>
        <w:rPr>
          <w:sz w:val="24"/>
        </w:rPr>
        <w:t>All permits have been obtained and are in compliance with all legal requirements.</w:t>
      </w:r>
    </w:p>
    <w:p>
      <w:pPr>
        <w:pStyle w:val="Normal"/>
        <w:numPr>
          <w:ilvl w:val="0"/>
          <w:numId w:val="6"/>
        </w:numPr>
        <w:jc w:val="both"/>
        <w:rPr>
          <w:sz w:val="24"/>
        </w:rPr>
      </w:pPr>
      <w:r>
        <w:rPr>
          <w:sz w:val="24"/>
        </w:rPr>
        <w:t>No violation of any governmental agency.</w:t>
      </w:r>
    </w:p>
    <w:p>
      <w:pPr>
        <w:pStyle w:val="Normal"/>
        <w:numPr>
          <w:ilvl w:val="0"/>
          <w:numId w:val="6"/>
        </w:numPr>
        <w:jc w:val="both"/>
        <w:rPr>
          <w:sz w:val="24"/>
        </w:rPr>
      </w:pPr>
      <w:r>
        <w:rPr>
          <w:sz w:val="24"/>
        </w:rPr>
        <w:t>Attaching a Statement of Facility Costs.</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Attachment C</w:t>
      </w:r>
    </w:p>
    <w:p>
      <w:pPr>
        <w:pStyle w:val="Normal"/>
        <w:jc w:val="center"/>
        <w:rPr>
          <w:sz w:val="24"/>
        </w:rPr>
      </w:pPr>
      <w:r>
        <w:rPr>
          <w:sz w:val="24"/>
        </w:rPr>
      </w:r>
    </w:p>
    <w:p>
      <w:pPr>
        <w:pStyle w:val="BodyText2"/>
        <w:numPr>
          <w:ilvl w:val="0"/>
          <w:numId w:val="3"/>
        </w:numPr>
        <w:rPr/>
      </w:pPr>
      <w:r>
        <w:rPr/>
        <w:t>Estimated Costs to Complete.  This is essentially the required costs to complete the facility as originally contemplated.  Indenture – Section 5.3(d).</w:t>
      </w:r>
    </w:p>
    <w:p>
      <w:pPr>
        <w:pStyle w:val="Normal"/>
        <w:numPr>
          <w:ilvl w:val="0"/>
          <w:numId w:val="3"/>
        </w:numPr>
        <w:rPr>
          <w:sz w:val="24"/>
        </w:rPr>
      </w:pPr>
      <w:r>
        <w:rPr>
          <w:sz w:val="24"/>
        </w:rPr>
        <w:t>Capitalized Interest Subaccount – this is the $16,202,500 that was deposited on the closing date to pay 24 months interest on the Senior Bonds.</w:t>
      </w:r>
    </w:p>
    <w:p>
      <w:pPr>
        <w:pStyle w:val="Normal"/>
        <w:numPr>
          <w:ilvl w:val="0"/>
          <w:numId w:val="3"/>
        </w:numPr>
        <w:rPr>
          <w:sz w:val="24"/>
        </w:rPr>
      </w:pPr>
      <w:r>
        <w:rPr>
          <w:sz w:val="24"/>
        </w:rPr>
        <w:t>Construction Subaccount – this is a catch all fund in the indenture.</w:t>
      </w:r>
    </w:p>
    <w:p>
      <w:pPr>
        <w:pStyle w:val="Normal"/>
        <w:numPr>
          <w:ilvl w:val="0"/>
          <w:numId w:val="3"/>
        </w:numPr>
        <w:rPr>
          <w:sz w:val="24"/>
        </w:rPr>
      </w:pPr>
      <w:r>
        <w:rPr>
          <w:sz w:val="24"/>
        </w:rPr>
        <w:t>Construction Loan Account – this is the $11,675,000 that was deposited on the closing date.</w:t>
      </w:r>
    </w:p>
    <w:p>
      <w:pPr>
        <w:pStyle w:val="Normal"/>
        <w:numPr>
          <w:ilvl w:val="0"/>
          <w:numId w:val="3"/>
        </w:numPr>
        <w:rPr>
          <w:sz w:val="24"/>
        </w:rPr>
      </w:pPr>
      <w:r>
        <w:rPr>
          <w:sz w:val="24"/>
        </w:rPr>
        <w:t>Equity Contribution Account.  There was a letter of credit issued to fund this account on the closing date.</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Attachment D</w:t>
      </w:r>
    </w:p>
    <w:p>
      <w:pPr>
        <w:pStyle w:val="Normal"/>
        <w:jc w:val="center"/>
        <w:rPr>
          <w:sz w:val="24"/>
        </w:rPr>
      </w:pPr>
      <w:r>
        <w:rPr>
          <w:sz w:val="24"/>
        </w:rPr>
        <w:t>FR Completion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BodyText"/>
        <w:numPr>
          <w:ilvl w:val="0"/>
          <w:numId w:val="2"/>
        </w:numPr>
        <w:rPr/>
      </w:pPr>
      <w:r>
        <w:rPr/>
        <w:t>Interim Completion.  (A) Completion of the Interim Performance Tests and achievement of 100% of Interim Performance Guarantees – these are tests on MDF, Fr MDF and MR MDF – See Exhibit G.  They require certain quality specifications and essentially 4 hours of production.</w:t>
      </w:r>
    </w:p>
    <w:p>
      <w:pPr>
        <w:pStyle w:val="Normal"/>
        <w:numPr>
          <w:ilvl w:val="0"/>
          <w:numId w:val="2"/>
        </w:numPr>
        <w:jc w:val="both"/>
        <w:rPr>
          <w:sz w:val="24"/>
        </w:rPr>
      </w:pPr>
      <w:r>
        <w:rPr>
          <w:sz w:val="24"/>
        </w:rPr>
        <w:t>Final Performance Tests – This is essentially an eleven day run test.  In lieu of passing Performance Tests, the EPC contract states that liquidated damages could be paid (note that the Loan Agreement talks of FR Completion – except that no certification need to be made by the Independent Consultant as to the payment of any liquidated damage – Section 2.2(b)(vii).</w:t>
      </w:r>
    </w:p>
    <w:p>
      <w:pPr>
        <w:pStyle w:val="Normal"/>
        <w:numPr>
          <w:ilvl w:val="0"/>
          <w:numId w:val="2"/>
        </w:numPr>
        <w:jc w:val="both"/>
        <w:rPr>
          <w:sz w:val="24"/>
        </w:rPr>
      </w:pPr>
      <w:r>
        <w:rPr>
          <w:sz w:val="24"/>
        </w:rPr>
        <w:t>The Endurance Benchmark ahs been achieved and demonstrated.  The facility must produce 3 million square feet, ¾ inch basis, of MDF over a period of 24 consecutive days, of which 75% must meet the Guaranteed Quality specifications, 20% shall be off spec board, and 5% shall be reject board.</w:t>
      </w:r>
    </w:p>
    <w:p>
      <w:pPr>
        <w:pStyle w:val="Normal"/>
        <w:numPr>
          <w:ilvl w:val="0"/>
          <w:numId w:val="2"/>
        </w:numPr>
        <w:jc w:val="both"/>
        <w:rPr>
          <w:sz w:val="24"/>
        </w:rPr>
      </w:pPr>
      <w:r>
        <w:rPr>
          <w:sz w:val="24"/>
        </w:rPr>
        <w:t>One Consistent MR Recipe shall have been achieved and demonstrated.  This means a recipe for raw material inputs and process for operation of the facility that results in the production of MR MDF meeting the Guaranteed MR MDF Quality Specifications.</w:t>
      </w:r>
    </w:p>
    <w:p>
      <w:pPr>
        <w:pStyle w:val="Normal"/>
        <w:numPr>
          <w:ilvl w:val="0"/>
          <w:numId w:val="2"/>
        </w:numPr>
        <w:jc w:val="both"/>
        <w:rPr>
          <w:sz w:val="24"/>
        </w:rPr>
      </w:pPr>
      <w:r>
        <w:rPr>
          <w:sz w:val="24"/>
        </w:rPr>
        <w:t>The facility operates in accordance with all Applicable Laws and Applicable Permits.</w:t>
      </w:r>
    </w:p>
    <w:p>
      <w:pPr>
        <w:pStyle w:val="Normal"/>
        <w:numPr>
          <w:ilvl w:val="0"/>
          <w:numId w:val="2"/>
        </w:numPr>
        <w:jc w:val="both"/>
        <w:rPr>
          <w:sz w:val="24"/>
        </w:rPr>
      </w:pPr>
      <w:r>
        <w:rPr>
          <w:sz w:val="24"/>
        </w:rPr>
        <w:t>All Applicable Permits have been received.</w:t>
      </w:r>
    </w:p>
    <w:p>
      <w:pPr>
        <w:pStyle w:val="Normal"/>
        <w:numPr>
          <w:ilvl w:val="0"/>
          <w:numId w:val="2"/>
        </w:numPr>
        <w:jc w:val="both"/>
        <w:rPr>
          <w:sz w:val="24"/>
        </w:rPr>
      </w:pPr>
      <w:r>
        <w:rPr>
          <w:sz w:val="24"/>
        </w:rPr>
        <w:t>Contractor has provided a list of Spare Parts and all Spare Parts required to be provided by the Contractor have been provided.</w:t>
      </w:r>
    </w:p>
    <w:p>
      <w:pPr>
        <w:pStyle w:val="Normal"/>
        <w:numPr>
          <w:ilvl w:val="0"/>
          <w:numId w:val="2"/>
        </w:numPr>
        <w:jc w:val="both"/>
        <w:rPr>
          <w:sz w:val="24"/>
        </w:rPr>
      </w:pPr>
      <w:r>
        <w:rPr>
          <w:sz w:val="24"/>
        </w:rPr>
        <w:t>A special tools purchased by the Contractor as part of Vendor supplies shall have been delivered.</w:t>
      </w:r>
    </w:p>
    <w:p>
      <w:pPr>
        <w:pStyle w:val="Normal"/>
        <w:numPr>
          <w:ilvl w:val="0"/>
          <w:numId w:val="2"/>
        </w:numPr>
        <w:jc w:val="both"/>
        <w:rPr>
          <w:sz w:val="24"/>
        </w:rPr>
      </w:pPr>
      <w:r>
        <w:rPr>
          <w:sz w:val="24"/>
        </w:rPr>
        <w:t>A punch list shall be developed and the items shall not exceed amounts retained by Contractor.</w:t>
      </w:r>
    </w:p>
    <w:p>
      <w:pPr>
        <w:pStyle w:val="Normal"/>
        <w:numPr>
          <w:ilvl w:val="0"/>
          <w:numId w:val="2"/>
        </w:numPr>
        <w:jc w:val="both"/>
        <w:rPr>
          <w:sz w:val="24"/>
        </w:rPr>
      </w:pPr>
      <w:r>
        <w:rPr>
          <w:sz w:val="24"/>
        </w:rPr>
        <w:t>All lien waivers shall have been provided.</w:t>
      </w:r>
    </w:p>
    <w:p>
      <w:pPr>
        <w:pStyle w:val="Normal"/>
        <w:numPr>
          <w:ilvl w:val="0"/>
          <w:numId w:val="2"/>
        </w:numPr>
        <w:jc w:val="both"/>
        <w:rPr>
          <w:sz w:val="24"/>
        </w:rPr>
      </w:pPr>
      <w:r>
        <w:rPr>
          <w:sz w:val="24"/>
        </w:rPr>
        <w:t>A certification of all outstanding claims shall be provided by Contractor.</w:t>
      </w:r>
    </w:p>
    <w:p>
      <w:pPr>
        <w:pStyle w:val="Normal"/>
        <w:numPr>
          <w:ilvl w:val="0"/>
          <w:numId w:val="2"/>
        </w:numPr>
        <w:jc w:val="both"/>
        <w:rPr>
          <w:sz w:val="24"/>
        </w:rPr>
      </w:pPr>
      <w:r>
        <w:rPr>
          <w:sz w:val="24"/>
        </w:rPr>
        <w:t>All warranties shall be assigned to the Company.</w:t>
      </w:r>
    </w:p>
    <w:p>
      <w:pPr>
        <w:pStyle w:val="Normal"/>
        <w:numPr>
          <w:ilvl w:val="0"/>
          <w:numId w:val="2"/>
        </w:numPr>
        <w:jc w:val="both"/>
        <w:rPr>
          <w:sz w:val="24"/>
        </w:rPr>
      </w:pPr>
      <w:r>
        <w:rPr>
          <w:sz w:val="24"/>
        </w:rPr>
        <w:t>Contractor shall provide information necessary for the Company’s tax records.</w:t>
      </w:r>
    </w:p>
    <w:p>
      <w:pPr>
        <w:pStyle w:val="Normal"/>
        <w:numPr>
          <w:ilvl w:val="0"/>
          <w:numId w:val="2"/>
        </w:numPr>
        <w:jc w:val="both"/>
        <w:rPr>
          <w:sz w:val="24"/>
        </w:rPr>
      </w:pPr>
      <w:r>
        <w:rPr>
          <w:sz w:val="24"/>
        </w:rPr>
        <w:t>Contractor shall deliver a fully executed bill of sale.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80"/>
        </w:tabs>
        <w:ind w:start="480" w:hanging="48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2001-01-30T13:53:00Z</dcterms:created>
  <dc:creator>john w enerson</dc:creator>
  <dc:description/>
  <dc:language>en-CA</dc:language>
  <cp:lastModifiedBy>john w enerson</cp:lastModifiedBy>
  <cp:lastPrinted>2000-11-14T11:30:00Z</cp:lastPrinted>
  <dcterms:modified xsi:type="dcterms:W3CDTF">2001-01-30T13:53:00Z</dcterms:modified>
  <cp:revision>2</cp:revision>
  <dc:subject/>
  <dc:title>Can Fibre Lackawanna</dc:title>
</cp:coreProperties>
</file>