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u w:val="single"/>
        </w:rPr>
        <w:t>Atlantic Water Trust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Atlantic Water Trust (“AWT”) is a joint venture formed by Enron and a third party investor for the purpose of acquiring and holding a 66 2/3% interest in Azurix.  The third party investor, Marlin Water Trust (“MWT”), is a limited liability company formed for the purpose of investing in AWT.  MWT is capitalized by approximately $915 million of debt and $125 million of equity proceeds from third party investment funds.  The debt is supported by the assets of Azurix and a contingent obligation of Enron.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redemption is required in the event of a downgrading of Enron senior unsecured debt to below “Baa2” by Moody’s or below “BBB-“ by S&amp;P or below “BBB-“ by Fitch and a decline in the closing price of Enron common stock to below $34.13 for three consecutive trading days.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Whitewing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Whitewing is a joint venture formed by Enron and a third party investor for the purpose of acquiring and owning asset-backed investments.  The third party investor, Osprey, is a limited liability company formed for the purpose of investing in Whitewing.  Osprey is capitalized by approximately $2.4 billion of debt and $220 million of equity proceeds.  The debt is supported by the assets of Whitewing, which include a contingent obligation of Enron.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Early redemption is required in the event of a downgrading of Enron senior unsecured debt to below “Baa2” by Moody’s or below “BBB-“ by S&amp;P or below “BBB-“ by Fitch and a decline in the closing price of Enron common stock to below $59.78 for three consecutive trading days.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  <w:b/>
          <w:bCs/>
          <w:u w:val="single"/>
        </w:rPr>
        <w:t>1</w:t>
      </w:r>
      <w:r>
        <w:rPr>
          <w:rFonts w:cs="Times New Roman" w:ascii="Times New Roman" w:hAnsi="Times New Roman"/>
          <w:b/>
          <w:bCs/>
          <w:u w:val="single"/>
          <w:vertAlign w:val="superscript"/>
        </w:rPr>
        <w:t>st</w:t>
      </w:r>
      <w:r>
        <w:rPr>
          <w:rFonts w:cs="Times New Roman" w:ascii="Times New Roman" w:hAnsi="Times New Roman"/>
          <w:b/>
          <w:bCs/>
          <w:u w:val="single"/>
        </w:rPr>
        <w:t xml:space="preserve"> Q Revenues Recognized</w:t>
      </w:r>
    </w:p>
    <w:p>
      <w:pPr>
        <w:pStyle w:val="Normal"/>
        <w:rPr>
          <w:rFonts w:ascii="Times New Roman" w:hAnsi="Times New Roman" w:cs="Times New Roman"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the first half of 2001, Enron recognized net revenues of approximately $241 million, primarily related to the change in the market value of derivatives instruments entered into with the LJM related-entities in 2000 to hedge certain merchant investments and other assets.  Revenues recognized on the derivative instruments offset market value changes of certain merchant investments included as a reduction in revenue.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900" w:footer="0" w:bottom="12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i/>
      <w:i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2001-10-22T17:51:00Z</dcterms:created>
  <dc:creator>dforsyt</dc:creator>
  <dc:description/>
  <dc:language>en-CA</dc:language>
  <cp:lastModifiedBy>kdenne</cp:lastModifiedBy>
  <cp:lastPrinted>2001-10-22T14:51:00Z</cp:lastPrinted>
  <dcterms:modified xsi:type="dcterms:W3CDTF">2001-10-22T17:52:00Z</dcterms:modified>
  <cp:revision>3</cp:revision>
  <dc:subject/>
  <dc:title>1st Q Revenues Recognized</dc:title>
</cp:coreProperties>
</file>