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December__, 2000</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Combustion Turbines.  </w:t>
      </w:r>
      <w:r>
        <w:rPr>
          <w:sz w:val="22"/>
        </w:rPr>
        <w:t>ENA entered into an agreement dated as of _______________ with General Electric Company (“</w:t>
      </w:r>
      <w:r>
        <w:rPr>
          <w:sz w:val="22"/>
          <w:u w:val="single"/>
        </w:rPr>
        <w:t>GE</w:t>
      </w:r>
      <w:r>
        <w:rPr>
          <w:sz w:val="22"/>
        </w:rPr>
        <w:t>”) pursuant to which ENA agreed to purchase from GE certain equipment, including one LM6000 enhanced SPRINT dual-fuel combustion turbine generator set (the “</w:t>
      </w:r>
      <w:r>
        <w:rPr>
          <w:sz w:val="22"/>
          <w:u w:val="single"/>
        </w:rPr>
        <w:t>Subject Unit</w:t>
      </w:r>
      <w:r>
        <w:rPr>
          <w:sz w:val="22"/>
        </w:rPr>
        <w:t>”) on terms and conditions more particularly described therein (the “</w:t>
      </w:r>
      <w:r>
        <w:rPr>
          <w:sz w:val="22"/>
          <w:u w:val="single"/>
        </w:rPr>
        <w:t>Master Contract</w:t>
      </w:r>
      <w:r>
        <w:rPr>
          <w:sz w:val="22"/>
        </w:rPr>
        <w:t xml:space="preserve">”).  </w:t>
      </w:r>
    </w:p>
    <w:p>
      <w:pPr>
        <w:pStyle w:val="Normal"/>
        <w:jc w:val="both"/>
        <w:rPr>
          <w:sz w:val="22"/>
        </w:rPr>
      </w:pPr>
      <w:r>
        <w:rPr>
          <w:sz w:val="22"/>
        </w:rPr>
      </w:r>
    </w:p>
    <w:p>
      <w:pPr>
        <w:pStyle w:val="Normal"/>
        <w:ind w:firstLine="720" w:end="0"/>
        <w:jc w:val="both"/>
        <w:rPr/>
      </w:pPr>
      <w:r>
        <w:rPr>
          <w:b/>
          <w:sz w:val="22"/>
        </w:rPr>
        <w:t>3.</w:t>
        <w:tab/>
        <w:t xml:space="preserve">Transaction.  </w:t>
      </w:r>
      <w:r>
        <w:rPr>
          <w:sz w:val="22"/>
        </w:rPr>
        <w:t>The parties agree to jointly engage in a Project more particularly described as follows (collectively, the “</w:t>
      </w:r>
      <w:r>
        <w:rPr>
          <w:sz w:val="22"/>
          <w:u w:val="single"/>
        </w:rPr>
        <w:t>Transaction</w:t>
      </w:r>
      <w:r>
        <w:rPr>
          <w:sz w:val="22"/>
        </w:rPr>
        <w:t>”):</w:t>
      </w:r>
    </w:p>
    <w:p>
      <w:pPr>
        <w:pStyle w:val="Normal"/>
        <w:ind w:firstLine="720" w:end="0"/>
        <w:jc w:val="both"/>
        <w:rPr>
          <w:b/>
          <w:sz w:val="22"/>
        </w:rPr>
      </w:pPr>
      <w:r>
        <w:rPr>
          <w:b/>
          <w:sz w:val="22"/>
        </w:rPr>
      </w:r>
    </w:p>
    <w:p>
      <w:pPr>
        <w:pStyle w:val="Normal"/>
        <w:ind w:firstLine="720" w:end="0"/>
        <w:jc w:val="both"/>
        <w:rPr/>
      </w:pPr>
      <w:r>
        <w:rPr>
          <w:b/>
          <w:sz w:val="22"/>
        </w:rPr>
        <w:tab/>
        <w:t>(a)</w:t>
        <w:tab/>
      </w:r>
      <w:r>
        <w:rPr>
          <w:sz w:val="22"/>
        </w:rPr>
        <w:t>ENA shall cause the LLC to acquire, pursuant to a breakout contract of even date herewith between the LLC and GE (the “</w:t>
      </w:r>
      <w:r>
        <w:rPr>
          <w:sz w:val="22"/>
          <w:u w:val="single"/>
        </w:rPr>
        <w:t>Breakout Contract</w:t>
      </w:r>
      <w:r>
        <w:rPr>
          <w:sz w:val="22"/>
        </w:rPr>
        <w:t>”), the rights and obligations of ENA under the Master Contract with respect to the Subject Unit, 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of the Membership Interests, ENA and THE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its initial acquisition of Membership Interests, TEH shall loan to the LLC funds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sz w:val="22"/>
        </w:rPr>
        <w:tab/>
      </w:r>
      <w:r>
        <w:rPr>
          <w:b/>
          <w:sz w:val="22"/>
        </w:rPr>
        <w:t>(f)</w:t>
      </w:r>
      <w:r>
        <w:rPr>
          <w:sz w:val="22"/>
        </w:rPr>
        <w:tab/>
        <w:t>ENA agrees to be responsible for, and to hold the LLC harmless from and against, payment of any and all amounts due and payable to the vendor of the Subject Unit (save and except any and all sales, transfer, use and other taxes which might arise in connection with the sale of the Subject Unit); provided that such amounts are not attributable to any act or omissions of THE, the LLC or their respective  affiliates after the date hereof, including, without limitation, any change orders affecting the Subject Unit, or any amendments, revisions, modifications or supplements to, or assignments or transfers of, the Breakout Contract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(g)</w:t>
      </w:r>
      <w:r>
        <w:rPr>
          <w:sz w:val="22"/>
        </w:rPr>
        <w:tab/>
        <w:t>Thereafter, TEH shall have the right to purchase the remaining Membership Interests in the LLC owned by ENA for the sum of $200.00 (the “</w:t>
      </w:r>
      <w:r>
        <w:rPr>
          <w:sz w:val="22"/>
          <w:u w:val="single"/>
        </w:rPr>
        <w:t>Call Right</w:t>
      </w:r>
      <w:r>
        <w:rPr>
          <w:sz w:val="22"/>
        </w:rPr>
        <w:t>”) at any time following (i) the point at which the Subject Unit is capable of commercial operation for purposes of generating electricity (“</w:t>
      </w:r>
      <w:r>
        <w:rPr>
          <w:sz w:val="22"/>
          <w:u w:val="single"/>
        </w:rPr>
        <w:t>Project Completion</w:t>
      </w:r>
      <w:r>
        <w:rPr>
          <w:sz w:val="22"/>
        </w:rPr>
        <w: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Project Completion.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(h)</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Any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Warranties and Covenants.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Breakout Contract is a valid and binding obligation upon both of the parties thereto, and that the copy of the Breakout Contract attached hereto as </w:t>
      </w:r>
      <w:r>
        <w:rPr>
          <w:sz w:val="22"/>
          <w:u w:val="single"/>
        </w:rPr>
        <w:t>Exhibit A</w:t>
      </w:r>
      <w:r>
        <w:rPr>
          <w:sz w:val="22"/>
        </w:rPr>
        <w:t xml:space="preserve"> is complete, true and correct in all respects, and has not been amended, revised, assigned, transferred, conveyed or otherwise modified; (ii) to the best of ENA’s knowledge, neither the LLC nor GE is in breach of any of the terms of the Breakout  Contract, and ENA knows of no facts which, or which with the passage of time, may give rise to a breach of the Breakout Contract; (iii) no consents or other authorizations are required in order for ENA to effect the Transaction contemplated hereby; (iv) consummation of the Transaction will not result in any material alteration of any of the obligations of the LLC or GE under the Breakout Contract to the detriment of the LLC; (v) ENA shall not, by act or omission, cause, permit or bring about any breach of the Breakout Contract; (vi) ENA shall not amend, revise, assign, transfer, convey or otherwise modify the Breakout Contract insofar as it relates to the Subject Unit, (vii) following consummation of the Transaction, ENA agrees to (A) assist the LLC in enforcing any of the terms of the Breakout Contract, if necessary, and (B) deliver to TEH copies of all correspondence which it receives from any entity, including without limitation GE, in connection with the Subject Unit or the Breakout Contract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Breakout Contract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sz w:val="12"/>
        <w:lang w:val="en-CA" w:eastAsia="en-CA"/>
      </w:rPr>
    </w:pPr>
    <w:r>
      <w:rPr>
        <w:sz w:val="12"/>
        <w:lang w:val="en-CA" w:eastAsia="en-CA"/>
      </w:rPr>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December __, 2000</w:t>
    </w:r>
    <w:r>
      <w:rPr>
        <w:b/>
        <w:sz w:val="22"/>
      </w:rPr>
      <w:tab/>
      <w:tab/>
      <w:t xml:space="preserve">                                                        DRAFT : 11/30/00</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11/30/00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2000-11-30T18:58:00Z</dcterms:created>
  <dc:creator>Carolyn Campbell</dc:creator>
  <dc:description>Houston-128541 v2</dc:description>
  <dc:language>en-CA</dc:language>
  <cp:lastModifiedBy>kmann</cp:lastModifiedBy>
  <cp:lastPrinted>2000-11-30T11:23:00Z</cp:lastPrinted>
  <dcterms:modified xsi:type="dcterms:W3CDTF">2000-11-30T18:58:00Z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