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5040" w:leader="none"/>
        </w:tabs>
        <w:rPr>
          <w:rFonts w:ascii="Arial" w:hAnsi="Arial" w:eastAsia="Arial" w:cs="Arial"/>
          <w:sz w:val="22"/>
          <w:szCs w:val="22"/>
        </w:rPr>
      </w:pPr>
      <w:r>
        <w:rPr>
          <w:rFonts w:eastAsia="Arial" w:cs="Arial" w:ascii="Arial" w:hAnsi="Arial"/>
          <w:sz w:val="22"/>
          <w:szCs w:val="22"/>
        </w:rPr>
        <w:tab/>
        <w:t>August 14, 2000</w:t>
      </w:r>
    </w:p>
    <w:p>
      <w:pPr>
        <w:pStyle w:val="Normal"/>
        <w:widowControl/>
        <w:tabs>
          <w:tab w:val="clear" w:pos="720"/>
          <w:tab w:val="left" w:pos="5040" w:leader="none"/>
        </w:tabs>
        <w:rPr>
          <w:rFonts w:ascii="Arial" w:hAnsi="Arial" w:eastAsia="Arial" w:cs="Arial"/>
          <w:sz w:val="22"/>
          <w:szCs w:val="22"/>
        </w:rPr>
      </w:pPr>
      <w:r>
        <w:rPr>
          <w:rFonts w:eastAsia="Arial" w:cs="Arial" w:ascii="Arial" w:hAnsi="Arial"/>
          <w:sz w:val="22"/>
          <w:szCs w:val="22"/>
        </w:rPr>
      </w:r>
    </w:p>
    <w:p>
      <w:pPr>
        <w:pStyle w:val="Normal"/>
        <w:widowControl/>
        <w:tabs>
          <w:tab w:val="clear" w:pos="720"/>
          <w:tab w:val="left" w:pos="5040" w:leader="none"/>
        </w:tabs>
        <w:rPr>
          <w:rFonts w:ascii="Arial" w:hAnsi="Arial" w:eastAsia="Arial" w:cs="Arial"/>
          <w:sz w:val="22"/>
          <w:szCs w:val="22"/>
        </w:rPr>
      </w:pPr>
      <w:r>
        <w:rPr>
          <w:rFonts w:eastAsia="Arial" w:cs="Arial" w:ascii="Arial" w:hAnsi="Arial"/>
          <w:sz w:val="22"/>
          <w:szCs w:val="22"/>
        </w:rPr>
      </w:r>
    </w:p>
    <w:p>
      <w:pPr>
        <w:pStyle w:val="Normal"/>
        <w:widowControl/>
        <w:rPr>
          <w:rFonts w:ascii="Arial" w:hAnsi="Arial" w:eastAsia="Arial" w:cs="Arial"/>
          <w:sz w:val="22"/>
          <w:szCs w:val="22"/>
        </w:rPr>
      </w:pPr>
      <w:r>
        <w:rPr>
          <w:rFonts w:eastAsia="Arial" w:cs="Arial" w:ascii="Arial" w:hAnsi="Arial"/>
          <w:sz w:val="22"/>
          <w:szCs w:val="22"/>
        </w:rPr>
        <w:t>Mr. Tim Belden</w:t>
      </w:r>
    </w:p>
    <w:p>
      <w:pPr>
        <w:pStyle w:val="Normal"/>
        <w:rPr>
          <w:rFonts w:ascii="Arial" w:hAnsi="Arial" w:eastAsia="Arial" w:cs="Arial"/>
          <w:sz w:val="22"/>
          <w:szCs w:val="22"/>
        </w:rPr>
      </w:pPr>
      <w:r>
        <w:rPr>
          <w:rFonts w:eastAsia="Arial" w:cs="Arial" w:ascii="Arial" w:hAnsi="Arial"/>
          <w:sz w:val="22"/>
          <w:szCs w:val="22"/>
        </w:rPr>
        <w:t>ENRON Capital &amp; Trade Resources Corp</w:t>
      </w:r>
    </w:p>
    <w:p>
      <w:pPr>
        <w:pStyle w:val="Normal"/>
        <w:rPr>
          <w:rFonts w:ascii="Arial" w:hAnsi="Arial" w:eastAsia="Arial" w:cs="Arial"/>
          <w:sz w:val="22"/>
          <w:szCs w:val="22"/>
        </w:rPr>
      </w:pPr>
      <w:r>
        <w:rPr>
          <w:rFonts w:eastAsia="Arial" w:cs="Arial" w:ascii="Arial" w:hAnsi="Arial"/>
          <w:sz w:val="22"/>
          <w:szCs w:val="22"/>
        </w:rPr>
        <w:t>Three World Trade Center - 3WTC0306</w:t>
      </w:r>
    </w:p>
    <w:p>
      <w:pPr>
        <w:pStyle w:val="Normal"/>
        <w:rPr>
          <w:rFonts w:ascii="Arial" w:hAnsi="Arial" w:eastAsia="Arial" w:cs="Arial"/>
          <w:sz w:val="22"/>
          <w:szCs w:val="22"/>
        </w:rPr>
      </w:pPr>
      <w:r>
        <w:rPr>
          <w:rFonts w:eastAsia="Arial" w:cs="Arial" w:ascii="Arial" w:hAnsi="Arial"/>
          <w:sz w:val="22"/>
          <w:szCs w:val="22"/>
        </w:rPr>
        <w:t>121 SW Salmon Street</w:t>
      </w:r>
    </w:p>
    <w:p>
      <w:pPr>
        <w:pStyle w:val="Heading1"/>
        <w:ind w:hanging="0" w:start="0"/>
        <w:rPr>
          <w:sz w:val="22"/>
          <w:szCs w:val="22"/>
        </w:rPr>
      </w:pPr>
      <w:r>
        <w:rPr>
          <w:sz w:val="22"/>
          <w:szCs w:val="22"/>
        </w:rPr>
        <w:t>Portland, Oregon  97204</w:t>
      </w:r>
    </w:p>
    <w:p>
      <w:pPr>
        <w:pStyle w:val="Normal"/>
        <w:widowControl/>
        <w:rPr>
          <w:rFonts w:ascii="Arial" w:hAnsi="Arial" w:eastAsia="Arial" w:cs="Arial"/>
          <w:sz w:val="22"/>
          <w:szCs w:val="22"/>
        </w:rPr>
      </w:pPr>
      <w:r>
        <w:rPr>
          <w:rFonts w:eastAsia="Arial" w:cs="Arial" w:ascii="Arial" w:hAnsi="Arial"/>
          <w:sz w:val="22"/>
          <w:szCs w:val="22"/>
        </w:rPr>
      </w:r>
    </w:p>
    <w:p>
      <w:pPr>
        <w:pStyle w:val="Normal"/>
        <w:widowControl/>
        <w:rPr>
          <w:rFonts w:ascii="Arial" w:hAnsi="Arial" w:eastAsia="Arial" w:cs="Arial"/>
          <w:sz w:val="22"/>
          <w:szCs w:val="22"/>
        </w:rPr>
      </w:pPr>
      <w:r>
        <w:rPr>
          <w:rFonts w:eastAsia="Arial" w:cs="Arial" w:ascii="Arial" w:hAnsi="Arial"/>
          <w:sz w:val="22"/>
          <w:szCs w:val="22"/>
        </w:rPr>
        <w:t>Dear Mr. Belden:</w:t>
      </w:r>
    </w:p>
    <w:p>
      <w:pPr>
        <w:pStyle w:val="Normal"/>
        <w:widowControl/>
        <w:rPr>
          <w:rFonts w:ascii="Arial" w:hAnsi="Arial" w:eastAsia="Arial" w:cs="Arial"/>
          <w:sz w:val="22"/>
          <w:szCs w:val="22"/>
        </w:rPr>
      </w:pPr>
      <w:r>
        <w:rPr>
          <w:rFonts w:eastAsia="Arial" w:cs="Arial" w:ascii="Arial" w:hAnsi="Arial"/>
          <w:sz w:val="22"/>
          <w:szCs w:val="22"/>
        </w:rPr>
      </w:r>
    </w:p>
    <w:p>
      <w:pPr>
        <w:pStyle w:val="Normal"/>
        <w:widowControl/>
        <w:rPr>
          <w:rFonts w:ascii="Arial" w:hAnsi="Arial" w:eastAsia="Arial" w:cs="Arial"/>
          <w:sz w:val="22"/>
          <w:szCs w:val="22"/>
        </w:rPr>
      </w:pPr>
      <w:r>
        <w:rPr>
          <w:rFonts w:eastAsia="Arial" w:cs="Arial" w:ascii="Arial" w:hAnsi="Arial"/>
          <w:sz w:val="22"/>
          <w:szCs w:val="22"/>
        </w:rPr>
        <w:t xml:space="preserve">On July 31, 2000, Bob Badeer, Manager of West Power Trading for Enron Power Marketing, Inc. (“Enron”), sent a notice to Russell Mills of the CalPX, informing him that for the month of August Enron would be taking “50% of our open Block Forward position financial instead of physical.”  Mr. Badeer cited the following as Enron’s reasons: “we think that elimination of physical risk will benefit us commercially.  Thus for bona fide commercial reasons we will go financial with 50% of our open Block Forward position.” </w:t>
      </w:r>
    </w:p>
    <w:p>
      <w:pPr>
        <w:pStyle w:val="Normal"/>
        <w:widowControl/>
        <w:rPr>
          <w:rFonts w:ascii="Arial" w:hAnsi="Arial" w:eastAsia="Arial" w:cs="Arial"/>
          <w:sz w:val="22"/>
          <w:szCs w:val="22"/>
        </w:rPr>
      </w:pPr>
      <w:r>
        <w:rPr>
          <w:rFonts w:eastAsia="Arial" w:cs="Arial" w:ascii="Arial" w:hAnsi="Arial"/>
          <w:sz w:val="22"/>
          <w:szCs w:val="22"/>
        </w:rPr>
      </w:r>
    </w:p>
    <w:p>
      <w:pPr>
        <w:pStyle w:val="Normal"/>
        <w:widowControl/>
        <w:rPr>
          <w:rFonts w:ascii="Arial" w:hAnsi="Arial" w:eastAsia="Arial" w:cs="Arial"/>
          <w:sz w:val="22"/>
          <w:szCs w:val="22"/>
        </w:rPr>
      </w:pPr>
      <w:r>
        <w:rPr>
          <w:rFonts w:eastAsia="Arial" w:cs="Arial" w:ascii="Arial" w:hAnsi="Arial"/>
          <w:sz w:val="22"/>
          <w:szCs w:val="22"/>
        </w:rPr>
        <w:t>You are requested to explain in writing why Enron thinks that the elimination of physical risk during the month of August will be of commercial benefit to the company.  This explanation should identify those “Bona Fide Commercial Reasons” that support Enron’s view.  Please email your explanation by August 18, 2000.  My email address is kamarlantes@calpx.com.</w:t>
      </w:r>
    </w:p>
    <w:p>
      <w:pPr>
        <w:pStyle w:val="Normal"/>
        <w:widowControl/>
        <w:rPr>
          <w:rFonts w:ascii="Arial" w:hAnsi="Arial" w:eastAsia="Arial" w:cs="Arial"/>
          <w:sz w:val="22"/>
          <w:szCs w:val="22"/>
        </w:rPr>
      </w:pPr>
      <w:r>
        <w:rPr>
          <w:rFonts w:eastAsia="Arial" w:cs="Arial" w:ascii="Arial" w:hAnsi="Arial"/>
          <w:sz w:val="22"/>
          <w:szCs w:val="22"/>
        </w:rPr>
      </w:r>
    </w:p>
    <w:p>
      <w:pPr>
        <w:pStyle w:val="Normal"/>
        <w:widowControl/>
        <w:rPr>
          <w:rFonts w:ascii="Arial" w:hAnsi="Arial" w:eastAsia="Arial" w:cs="Arial"/>
          <w:sz w:val="22"/>
          <w:szCs w:val="22"/>
        </w:rPr>
      </w:pPr>
      <w:r>
        <w:rPr>
          <w:rFonts w:eastAsia="Arial" w:cs="Arial" w:ascii="Arial" w:hAnsi="Arial"/>
          <w:sz w:val="22"/>
          <w:szCs w:val="22"/>
        </w:rPr>
        <w:t>As you may know, the CalPX is required by the terms of a no-action letter from the Commodity Futures Trading Commission (“CFTC”), dated December 16, 1999, to assure that at least 75% of the volume in the Block Forward Market (“BFM”) during each rolling 12-month period results in physical delivery.  Two exceptions apply.  A participant in the BFM is permitted to extinguish its delivery obligation for a “Bona Fide Commercial Reason” or due to an “Uncontrollable Force,” as those terms are defined in Appendix 1 to the BFM Rate Schedule.</w:t>
      </w:r>
    </w:p>
    <w:p>
      <w:pPr>
        <w:pStyle w:val="Normal"/>
        <w:widowControl/>
        <w:rPr>
          <w:rFonts w:ascii="Arial" w:hAnsi="Arial" w:eastAsia="Arial" w:cs="Arial"/>
          <w:sz w:val="22"/>
          <w:szCs w:val="22"/>
        </w:rPr>
      </w:pPr>
      <w:r>
        <w:rPr>
          <w:rFonts w:eastAsia="Arial" w:cs="Arial" w:ascii="Arial" w:hAnsi="Arial"/>
          <w:sz w:val="22"/>
          <w:szCs w:val="22"/>
        </w:rPr>
      </w:r>
    </w:p>
    <w:p>
      <w:pPr>
        <w:pStyle w:val="Normal"/>
        <w:widowControl/>
        <w:rPr>
          <w:rFonts w:ascii="Arial" w:hAnsi="Arial" w:eastAsia="Arial" w:cs="Arial"/>
          <w:sz w:val="22"/>
          <w:szCs w:val="22"/>
        </w:rPr>
      </w:pPr>
      <w:r>
        <w:rPr>
          <w:rFonts w:eastAsia="Arial" w:cs="Arial" w:ascii="Arial" w:hAnsi="Arial"/>
          <w:sz w:val="22"/>
          <w:szCs w:val="22"/>
        </w:rPr>
        <w:t xml:space="preserve">Failure to comply with the 75% limit may cause the CFTC staff to revoke its position that the BFM does not need to obtain designation as a contract market at this time.  The information that we have requested is necessary to help us determine that we will not breach the 75% limit as a result of Enron’s proposed non-delivery.  For your assistance, a copy of the no-action letter may be found on the CFTC Website, </w:t>
      </w:r>
      <w:r>
        <w:fldChar w:fldCharType="begin"/>
      </w:r>
      <w:r>
        <w:rPr>
          <w:sz w:val="22"/>
          <w:szCs w:val="22"/>
          <w:rFonts w:eastAsia="Arial" w:cs="Arial" w:ascii="Arial" w:hAnsi="Arial"/>
        </w:rPr>
        <w:instrText xml:space="preserve"> GOTOBUTTON BM_2_ www.cftc.gov.</w:instrText>
      </w:r>
      <w:r>
        <w:rPr>
          <w:rFonts w:eastAsia="Arial" w:cs="Arial" w:ascii="Arial" w:hAnsi="Arial"/>
          <w:sz w:val="22"/>
          <w:szCs w:val="22"/>
        </w:rPr>
      </w:r>
      <w:r>
        <w:rPr>
          <w:sz w:val="22"/>
          <w:szCs w:val="22"/>
          <w:rFonts w:eastAsia="Arial" w:cs="Arial" w:ascii="Arial" w:hAnsi="Arial"/>
        </w:rPr>
        <w:fldChar w:fldCharType="separate"/>
      </w:r>
      <w:r>
        <w:rPr>
          <w:rFonts w:eastAsia="Arial" w:cs="Arial" w:ascii="Arial" w:hAnsi="Arial"/>
          <w:sz w:val="22"/>
          <w:szCs w:val="22"/>
        </w:rPr>
      </w:r>
      <w:r/>
      <w:r>
        <w:rPr>
          <w:sz w:val="22"/>
          <w:szCs w:val="22"/>
          <w:rFonts w:eastAsia="Arial" w:cs="Arial" w:ascii="Arial" w:hAnsi="Arial"/>
        </w:rPr>
        <w:fldChar w:fldCharType="end"/>
      </w:r>
      <w:r>
        <w:rPr>
          <w:rFonts w:eastAsia="Arial" w:cs="Arial" w:ascii="Arial" w:hAnsi="Arial"/>
          <w:sz w:val="22"/>
          <w:szCs w:val="22"/>
        </w:rPr>
      </w:r>
    </w:p>
    <w:p>
      <w:pPr>
        <w:pStyle w:val="Normal"/>
        <w:widowControl/>
        <w:rPr>
          <w:rFonts w:ascii="Arial" w:hAnsi="Arial" w:eastAsia="Arial" w:cs="Arial"/>
          <w:sz w:val="22"/>
          <w:szCs w:val="22"/>
        </w:rPr>
      </w:pPr>
      <w:r>
        <w:rPr>
          <w:rFonts w:eastAsia="Arial" w:cs="Arial" w:ascii="Arial" w:hAnsi="Arial"/>
          <w:sz w:val="22"/>
          <w:szCs w:val="22"/>
        </w:rPr>
      </w:r>
    </w:p>
    <w:p>
      <w:pPr>
        <w:pStyle w:val="Normal"/>
        <w:widowControl/>
        <w:tabs>
          <w:tab w:val="clear" w:pos="720"/>
          <w:tab w:val="left" w:pos="5040" w:leader="none"/>
        </w:tabs>
        <w:rPr>
          <w:rFonts w:ascii="Arial" w:hAnsi="Arial" w:eastAsia="Arial" w:cs="Arial"/>
          <w:sz w:val="22"/>
          <w:szCs w:val="22"/>
        </w:rPr>
      </w:pPr>
      <w:r>
        <w:rPr>
          <w:rFonts w:eastAsia="Arial" w:cs="Arial" w:ascii="Arial" w:hAnsi="Arial"/>
          <w:sz w:val="22"/>
          <w:szCs w:val="22"/>
        </w:rPr>
        <w:tab/>
        <w:t>Sincerely,</w:t>
      </w:r>
    </w:p>
    <w:p>
      <w:pPr>
        <w:pStyle w:val="Normal"/>
        <w:widowControl/>
        <w:tabs>
          <w:tab w:val="clear" w:pos="720"/>
          <w:tab w:val="left" w:pos="5040" w:leader="none"/>
        </w:tabs>
        <w:rPr>
          <w:rFonts w:ascii="Arial" w:hAnsi="Arial" w:eastAsia="Arial" w:cs="Arial"/>
          <w:sz w:val="22"/>
          <w:szCs w:val="22"/>
        </w:rPr>
      </w:pPr>
      <w:r>
        <w:rPr>
          <w:rFonts w:eastAsia="Arial" w:cs="Arial" w:ascii="Arial" w:hAnsi="Arial"/>
          <w:sz w:val="22"/>
          <w:szCs w:val="22"/>
        </w:rPr>
      </w:r>
    </w:p>
    <w:p>
      <w:pPr>
        <w:pStyle w:val="Normal"/>
        <w:widowControl/>
        <w:tabs>
          <w:tab w:val="clear" w:pos="720"/>
          <w:tab w:val="left" w:pos="5040" w:leader="none"/>
        </w:tabs>
        <w:rPr>
          <w:rFonts w:ascii="Arial" w:hAnsi="Arial" w:eastAsia="Arial" w:cs="Arial"/>
          <w:sz w:val="22"/>
          <w:szCs w:val="22"/>
        </w:rPr>
      </w:pPr>
      <w:r>
        <w:rPr>
          <w:rFonts w:eastAsia="Arial" w:cs="Arial" w:ascii="Arial" w:hAnsi="Arial"/>
          <w:sz w:val="22"/>
          <w:szCs w:val="22"/>
        </w:rPr>
      </w:r>
    </w:p>
    <w:p>
      <w:pPr>
        <w:pStyle w:val="Normal"/>
        <w:widowControl/>
        <w:tabs>
          <w:tab w:val="clear" w:pos="720"/>
          <w:tab w:val="left" w:pos="5040" w:leader="none"/>
        </w:tabs>
        <w:rPr>
          <w:rFonts w:ascii="Arial" w:hAnsi="Arial" w:eastAsia="Arial" w:cs="Arial"/>
          <w:sz w:val="22"/>
          <w:szCs w:val="22"/>
        </w:rPr>
      </w:pPr>
      <w:r>
        <w:rPr>
          <w:rFonts w:eastAsia="Arial" w:cs="Arial" w:ascii="Arial" w:hAnsi="Arial"/>
          <w:sz w:val="22"/>
          <w:szCs w:val="22"/>
        </w:rPr>
        <w:tab/>
        <w:t>Karl A. Marlantes</w:t>
      </w:r>
    </w:p>
    <w:p>
      <w:pPr>
        <w:pStyle w:val="Normal"/>
        <w:widowControl/>
        <w:tabs>
          <w:tab w:val="clear" w:pos="720"/>
          <w:tab w:val="left" w:pos="5040" w:leader="none"/>
        </w:tabs>
        <w:rPr>
          <w:rFonts w:ascii="Arial" w:hAnsi="Arial" w:eastAsia="Arial" w:cs="Arial"/>
          <w:sz w:val="22"/>
          <w:szCs w:val="22"/>
        </w:rPr>
      </w:pPr>
      <w:r>
        <w:rPr>
          <w:rFonts w:eastAsia="Arial" w:cs="Arial" w:ascii="Arial" w:hAnsi="Arial"/>
          <w:sz w:val="22"/>
          <w:szCs w:val="22"/>
        </w:rPr>
        <w:tab/>
        <w:t>Acting Director of Investigations</w:t>
      </w:r>
    </w:p>
    <w:p>
      <w:pPr>
        <w:pStyle w:val="Normal"/>
        <w:widowControl/>
        <w:tabs>
          <w:tab w:val="clear" w:pos="720"/>
          <w:tab w:val="left" w:pos="540" w:leader="none"/>
          <w:tab w:val="left" w:pos="5040" w:leader="none"/>
        </w:tabs>
        <w:rPr>
          <w:rFonts w:ascii="Arial" w:hAnsi="Arial" w:eastAsia="Arial" w:cs="Arial"/>
          <w:sz w:val="22"/>
          <w:szCs w:val="22"/>
        </w:rPr>
      </w:pPr>
      <w:r>
        <w:rPr>
          <w:rFonts w:eastAsia="Arial" w:cs="Arial" w:ascii="Arial" w:hAnsi="Arial"/>
          <w:sz w:val="22"/>
          <w:szCs w:val="22"/>
        </w:rPr>
        <w:t>Cc:</w:t>
        <w:tab/>
        <w:t>Patricia Gillman</w:t>
      </w:r>
    </w:p>
    <w:p>
      <w:pPr>
        <w:pStyle w:val="Normal"/>
        <w:widowControl/>
        <w:tabs>
          <w:tab w:val="clear" w:pos="720"/>
          <w:tab w:val="left" w:pos="540" w:leader="none"/>
          <w:tab w:val="left" w:pos="5040" w:leader="none"/>
        </w:tabs>
        <w:rPr>
          <w:rFonts w:ascii="Arial" w:hAnsi="Arial" w:eastAsia="Arial" w:cs="Arial"/>
          <w:sz w:val="22"/>
          <w:szCs w:val="22"/>
        </w:rPr>
      </w:pPr>
      <w:r>
        <w:rPr>
          <w:rFonts w:eastAsia="Arial" w:cs="Arial" w:ascii="Arial" w:hAnsi="Arial"/>
          <w:sz w:val="22"/>
          <w:szCs w:val="22"/>
        </w:rPr>
        <w:tab/>
        <w:t>David O. Jermain</w:t>
      </w:r>
    </w:p>
    <w:p>
      <w:pPr>
        <w:pStyle w:val="Normal"/>
        <w:widowControl/>
        <w:tabs>
          <w:tab w:val="clear" w:pos="720"/>
          <w:tab w:val="left" w:pos="540" w:leader="none"/>
          <w:tab w:val="left" w:pos="5040" w:leader="none"/>
        </w:tabs>
        <w:rPr>
          <w:rFonts w:ascii="Arial" w:hAnsi="Arial" w:eastAsia="Arial" w:cs="Arial"/>
          <w:sz w:val="22"/>
          <w:szCs w:val="22"/>
        </w:rPr>
      </w:pPr>
      <w:r>
        <w:rPr>
          <w:rFonts w:eastAsia="Arial" w:cs="Arial" w:ascii="Arial" w:hAnsi="Arial"/>
          <w:sz w:val="22"/>
          <w:szCs w:val="22"/>
        </w:rPr>
      </w:r>
    </w:p>
    <w:sectPr>
      <w:type w:val="nextPage"/>
      <w:pgSz w:w="12240" w:h="15840"/>
      <w:pgMar w:left="1584" w:right="1584" w:gutter="0" w:header="0" w:top="2736"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eastAsia="Arial" w:cs="Arial"/>
      <w:sz w:val="24"/>
      <w:szCs w:val="24"/>
    </w:rPr>
  </w:style>
  <w:style w:type="character" w:styleId="DefaultParagraphFont">
    <w:name w:val="Default Paragraph Font"/>
    <w:qFormat/>
    <w:rPr/>
  </w:style>
  <w:style w:type="character" w:styleId="SYSHYPERTEXT">
    <w:name w:val="SYS_HYPERTEX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2000-08-14T19:15:00Z</dcterms:created>
  <dc:creator>NIbarra</dc:creator>
  <dc:description/>
  <dc:language>en-CA</dc:language>
  <cp:lastModifiedBy>NIbarra</cp:lastModifiedBy>
  <cp:lastPrinted>2000-08-14T15:23:00Z</cp:lastPrinted>
  <dcterms:modified xsi:type="dcterms:W3CDTF">2000-08-14T19:55:00Z</dcterms:modified>
  <cp:revision>6</cp:revision>
  <dc:subject/>
  <dc:title>Letter to Tim Beldon</dc:title>
</cp:coreProperties>
</file>