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ookman Old Style" w:hAnsi="Bookman Old Style" w:cs="Bookman Old Style"/>
          <w:color w:val="000080"/>
          <w:sz w:val="24"/>
        </w:rPr>
      </w:pPr>
      <w:r>
        <w:rPr>
          <w:rFonts w:cs="Bookman Old Style" w:ascii="Bookman Old Style" w:hAnsi="Bookman Old Style"/>
          <w:color w:val="000080"/>
          <w:sz w:val="24"/>
        </w:rPr>
      </w:r>
    </w:p>
    <w:p>
      <w:pPr>
        <w:pStyle w:val="Normal"/>
        <w:rPr>
          <w:rFonts w:ascii="Bookman Old Style" w:hAnsi="Bookman Old Style" w:cs="Bookman Old Style"/>
          <w:color w:val="000080"/>
          <w:sz w:val="24"/>
        </w:rPr>
      </w:pPr>
      <w:r>
        <w:rPr>
          <w:lang w:val="en-CA" w:eastAsia="en-CA"/>
        </w:rPr>
        <w:drawing>
          <wp:inline distT="0" distB="0" distL="0" distR="0">
            <wp:extent cx="2190750" cy="14478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25" r="-16" b="-25"/>
                    <a:stretch>
                      <a:fillRect/>
                    </a:stretch>
                  </pic:blipFill>
                  <pic:spPr bwMode="auto">
                    <a:xfrm>
                      <a:off x="0" y="0"/>
                      <a:ext cx="2190750" cy="1447800"/>
                    </a:xfrm>
                    <a:prstGeom prst="rect">
                      <a:avLst/>
                    </a:prstGeom>
                    <a:noFill/>
                  </pic:spPr>
                </pic:pic>
              </a:graphicData>
            </a:graphic>
          </wp:inline>
        </w:drawing>
      </w:r>
      <w:r>
        <w:rPr>
          <w:lang w:val="en-CA" w:eastAsia="en-CA"/>
        </w:rPr>
        <w:tab/>
        <w:tab/>
        <w:tab/>
        <w:tab/>
        <w:tab/>
        <w:tab/>
        <w:tab/>
      </w:r>
    </w:p>
    <w:p>
      <w:pPr>
        <w:pStyle w:val="Normal"/>
        <w:rPr>
          <w:rFonts w:ascii="Bookman Old Style" w:hAnsi="Bookman Old Style" w:cs="Bookman Old Style"/>
          <w:color w:val="000080"/>
          <w:sz w:val="24"/>
        </w:rPr>
      </w:pPr>
      <w:r>
        <w:rPr>
          <w:rFonts w:cs="Bookman Old Style" w:ascii="Bookman Old Style" w:hAnsi="Bookman Old Style"/>
          <w:color w:val="000080"/>
          <w:sz w:val="24"/>
        </w:rPr>
      </w:r>
    </w:p>
    <w:p>
      <w:pPr>
        <w:pStyle w:val="Normal"/>
        <w:rPr>
          <w:rFonts w:ascii="Bookman Old Style" w:hAnsi="Bookman Old Style" w:cs="Bookman Old Style"/>
          <w:sz w:val="24"/>
        </w:rPr>
      </w:pPr>
      <w:r>
        <w:rPr>
          <w:rFonts w:cs="Bookman Old Style" w:ascii="Bookman Old Style" w:hAnsi="Bookman Old Style"/>
          <w:sz w:val="24"/>
        </w:rPr>
        <w:t>December 13, 2001</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t>Administrative Law Judge Carol A. Brown</w:t>
      </w:r>
    </w:p>
    <w:p>
      <w:pPr>
        <w:pStyle w:val="Normal"/>
        <w:rPr>
          <w:rFonts w:ascii="Bookman Old Style" w:hAnsi="Bookman Old Style" w:cs="Bookman Old Style"/>
          <w:sz w:val="24"/>
        </w:rPr>
      </w:pPr>
      <w:r>
        <w:rPr>
          <w:rFonts w:cs="Bookman Old Style" w:ascii="Bookman Old Style" w:hAnsi="Bookman Old Style"/>
          <w:sz w:val="24"/>
        </w:rPr>
        <w:t>California Public Utilities Commission</w:t>
      </w:r>
    </w:p>
    <w:p>
      <w:pPr>
        <w:pStyle w:val="Normal"/>
        <w:rPr>
          <w:rFonts w:ascii="Bookman Old Style" w:hAnsi="Bookman Old Style" w:cs="Bookman Old Style"/>
          <w:sz w:val="24"/>
        </w:rPr>
      </w:pPr>
      <w:r>
        <w:rPr>
          <w:rFonts w:cs="Bookman Old Style" w:ascii="Bookman Old Style" w:hAnsi="Bookman Old Style"/>
          <w:sz w:val="24"/>
        </w:rPr>
        <w:t>505 Van Ness Avenue</w:t>
      </w:r>
    </w:p>
    <w:p>
      <w:pPr>
        <w:pStyle w:val="Normal"/>
        <w:rPr>
          <w:rFonts w:ascii="Bookman Old Style" w:hAnsi="Bookman Old Style" w:cs="Bookman Old Style"/>
          <w:sz w:val="24"/>
        </w:rPr>
      </w:pPr>
      <w:r>
        <w:rPr>
          <w:rFonts w:cs="Bookman Old Style" w:ascii="Bookman Old Style" w:hAnsi="Bookman Old Style"/>
          <w:sz w:val="24"/>
        </w:rPr>
        <w:t>San Francisco, CA 94102-3214</w:t>
      </w:r>
    </w:p>
    <w:p>
      <w:pPr>
        <w:pStyle w:val="Normal"/>
        <w:rPr>
          <w:rFonts w:ascii="Bookman Old Style" w:hAnsi="Bookman Old Style" w:cs="Bookman Old Style"/>
          <w:sz w:val="24"/>
        </w:rPr>
      </w:pPr>
      <w:r>
        <w:rPr>
          <w:rFonts w:cs="Bookman Old Style" w:ascii="Bookman Old Style" w:hAnsi="Bookman Old Style"/>
          <w:sz w:val="24"/>
        </w:rPr>
      </w:r>
    </w:p>
    <w:p>
      <w:pPr>
        <w:pStyle w:val="Normal"/>
        <w:rPr/>
      </w:pPr>
      <w:r>
        <w:rPr>
          <w:rFonts w:cs="Bookman Old Style" w:ascii="Bookman Old Style" w:hAnsi="Bookman Old Style"/>
          <w:sz w:val="24"/>
        </w:rPr>
        <w:tab/>
      </w:r>
      <w:r>
        <w:rPr>
          <w:rFonts w:cs="Bookman Old Style" w:ascii="Bookman Old Style" w:hAnsi="Bookman Old Style"/>
          <w:b/>
          <w:sz w:val="24"/>
        </w:rPr>
        <w:t>Re:</w:t>
        <w:tab/>
        <w:t>A.01-09-024 SoCalGas BCAP</w:t>
      </w:r>
    </w:p>
    <w:p>
      <w:pPr>
        <w:pStyle w:val="Normal"/>
        <w:rPr>
          <w:rFonts w:ascii="Bookman Old Style" w:hAnsi="Bookman Old Style" w:cs="Bookman Old Style"/>
          <w:b/>
          <w:sz w:val="24"/>
        </w:rPr>
      </w:pPr>
      <w:r>
        <w:rPr>
          <w:rFonts w:cs="Bookman Old Style" w:ascii="Bookman Old Style" w:hAnsi="Bookman Old Style"/>
          <w:b/>
          <w:sz w:val="24"/>
        </w:rPr>
      </w:r>
    </w:p>
    <w:p>
      <w:pPr>
        <w:pStyle w:val="Normal"/>
        <w:rPr>
          <w:rFonts w:ascii="Bookman Old Style" w:hAnsi="Bookman Old Style" w:cs="Bookman Old Style"/>
          <w:sz w:val="24"/>
        </w:rPr>
      </w:pPr>
      <w:r>
        <w:rPr>
          <w:rFonts w:cs="Bookman Old Style" w:ascii="Bookman Old Style" w:hAnsi="Bookman Old Style"/>
          <w:sz w:val="24"/>
        </w:rPr>
        <w:t>Dear Judge Brown:</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tab/>
        <w:t xml:space="preserve">Recently, on December 11, 2001 the California Public Utilities Commission issued its decision in I.99-07-003, entitled “FINAL OPINION APPROVAL WITH MODIFICATIONS OF THE COMPREHENSIVE GAS OII SETTLEMENT AGREEMENT FOR SOUTHERN CALIFORNIA GAS COMPANY AND SAN DIEGO GAS AND ELECTRIC COMPANY.”   As the title suggests, this decision approves with modifications the Comprehensive Settlement Agreement that was originally submitted in April of 2000.  Without going into great detail, the decision requires substantial changes to many facets of SoCalGas’ business including unbundling intrastate transmission rights based on embedded costs, establishing a postage stamp rate for backbone transmission capacity, and establishing a secondary market for those rights; further unbundling gas storage based on embedded costs and the creation of a system of firm tradable gas storage rights with a secondary market for the trading of those rights; separation of the balancing services provided to core and noncore customers and the creation of new balancing services such as self-balancing; authorization for SoCalGas’ Gas Operations Department to file tariffs to provide hub services; reduction of the core aggregation threshold and elimination of the core participation cap; the unbundling of core interstate capacity and the allocation of stranded costs resulting therefrom along with the elimination of the core’s contribution to noncore ITCS; elimination of the core subscription program;  and numerous other matters.  Most of these changes impact our BCAP proceeding. </w:t>
      </w:r>
    </w:p>
    <w:p>
      <w:pPr>
        <w:pStyle w:val="Header"/>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tab/>
        <w:t>We understand that the final Commission decision will probably not be available for review and analysis until next week.  Regardless, with a few exceptions, SoCalGas must file advice letters to implement the decision within 15 business days from its effective date.  Consequently, over the next several weeks our primary focus will be analyzing the final Commission decision and preparing the necessary advice letters and revised tariffs.</w:t>
      </w:r>
    </w:p>
    <w:p>
      <w:pPr>
        <w:pStyle w:val="Normal"/>
        <w:rPr>
          <w:rFonts w:ascii="Bookman Old Style" w:hAnsi="Bookman Old Style" w:cs="Bookman Old Style"/>
          <w:sz w:val="24"/>
        </w:rPr>
      </w:pPr>
      <w:r>
        <w:rPr>
          <w:rFonts w:cs="Bookman Old Style" w:ascii="Bookman Old Style" w:hAnsi="Bookman Old Style"/>
          <w:sz w:val="24"/>
        </w:rPr>
        <w:tab/>
        <w:t xml:space="preserve">As was stated in the Prehearing Conference Statement, and noted by you at the Prehearing Conference, the issuance of this decision will significantly affect the scope of this BCAP proceeding.  The good news is that a number of issues will be eliminated and others will be narrowed such that even with the embedded cost allocation methodology included (as it is presently), a reduction in the amount of hearing time is likely.  I am unable to tell you at this time when SoCalGas will be able to file its revised application and supporting testimony reflecting all the changes caused by issuance of the decision in I.99-07-003, I hope to have that information available by the middle of January.   SoCalGas will endeavor to prepare and issue those revisions as fast as reasonably possible given existing constraints caused by the immediate need to prepare implementing advice letters and tariffs, the need to analyze the text of the final decision, the time of year and the availability of witnesses.    </w:t>
      </w:r>
    </w:p>
    <w:p>
      <w:pPr>
        <w:pStyle w:val="Normal"/>
        <w:rPr>
          <w:rFonts w:ascii="Bookman Old Style" w:hAnsi="Bookman Old Style" w:cs="Bookman Old Style"/>
          <w:sz w:val="24"/>
        </w:rPr>
      </w:pPr>
      <w:r>
        <w:rPr>
          <w:rFonts w:cs="Bookman Old Style" w:ascii="Bookman Old Style" w:hAnsi="Bookman Old Style"/>
          <w:sz w:val="24"/>
        </w:rPr>
        <w:tab/>
        <w:t>At present, SoCalGas is current with all data requests.  However, because there will be revisions to much of the present filing (including the marginal and embedded cost allocations and rates) unless otherwise instructed by you SoCalGas will withhold responding to further data requests pertaining to its existing testimony until its revised testimony is issued, except in cases where data requests pertain to issues clearly not affected by the decision in I.99-07-003.  This will avoid having to respond to questions that are no longer relevant and will free up the witnesses’ time to focus on preparing their revised testimony and compliance filings.</w:t>
      </w:r>
    </w:p>
    <w:p>
      <w:pPr>
        <w:pStyle w:val="Normal"/>
        <w:rPr>
          <w:rFonts w:ascii="Bookman Old Style" w:hAnsi="Bookman Old Style" w:cs="Bookman Old Style"/>
          <w:sz w:val="24"/>
        </w:rPr>
      </w:pPr>
      <w:r>
        <w:rPr>
          <w:rFonts w:cs="Bookman Old Style" w:ascii="Bookman Old Style" w:hAnsi="Bookman Old Style"/>
          <w:sz w:val="24"/>
        </w:rPr>
        <w:tab/>
        <w:t xml:space="preserve">This letter is being sent by e-mail and U.S. Mail to all parties on the service list for this proceeding.  </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tab/>
        <w:tab/>
        <w:tab/>
        <w:tab/>
        <w:tab/>
        <w:t xml:space="preserve">Sincerely, </w:t>
      </w:r>
    </w:p>
    <w:p>
      <w:pPr>
        <w:pStyle w:val="Normal"/>
        <w:rPr>
          <w:rFonts w:ascii="Bookman Old Style" w:hAnsi="Bookman Old Style" w:cs="Bookman Old Style"/>
          <w:sz w:val="24"/>
        </w:rPr>
      </w:pPr>
      <w:r>
        <w:rPr>
          <w:rFonts w:cs="Bookman Old Style" w:ascii="Bookman Old Style" w:hAnsi="Bookman Old Style"/>
          <w:sz w:val="24"/>
        </w:rPr>
      </w:r>
    </w:p>
    <w:p>
      <w:pPr>
        <w:pStyle w:val="Normal"/>
        <w:rPr/>
      </w:pPr>
      <w:r>
        <w:rPr>
          <w:rFonts w:cs="Bookman Old Style" w:ascii="Bookman Old Style" w:hAnsi="Bookman Old Style"/>
          <w:sz w:val="24"/>
        </w:rPr>
        <w:tab/>
        <w:tab/>
        <w:tab/>
        <w:tab/>
        <w:tab/>
      </w:r>
      <w:r>
        <w:rPr>
          <w:rFonts w:cs="Bookman Old Style" w:ascii="Bookman Old Style" w:hAnsi="Bookman Old Style"/>
          <w:i/>
          <w:iCs/>
        </w:rPr>
        <w:t>/s/Jeffrey M. Parrott</w:t>
      </w:r>
    </w:p>
    <w:p>
      <w:pPr>
        <w:pStyle w:val="Normal"/>
        <w:rPr>
          <w:rFonts w:ascii="Bookman Old Style" w:hAnsi="Bookman Old Style" w:cs="Bookman Old Style"/>
          <w:i/>
          <w:i/>
          <w:iCs/>
          <w:sz w:val="24"/>
        </w:rPr>
      </w:pPr>
      <w:r>
        <w:rPr>
          <w:rFonts w:cs="Bookman Old Style" w:ascii="Bookman Old Style" w:hAnsi="Bookman Old Style"/>
          <w:i/>
          <w:iCs/>
          <w:sz w:val="24"/>
        </w:rPr>
      </w:r>
    </w:p>
    <w:p>
      <w:pPr>
        <w:pStyle w:val="Normal"/>
        <w:rPr>
          <w:rFonts w:ascii="Bookman Old Style" w:hAnsi="Bookman Old Style" w:cs="Bookman Old Style"/>
          <w:sz w:val="24"/>
        </w:rPr>
      </w:pPr>
      <w:r>
        <w:rPr>
          <w:rFonts w:cs="Bookman Old Style" w:ascii="Bookman Old Style" w:hAnsi="Bookman Old Style"/>
          <w:sz w:val="24"/>
        </w:rPr>
        <w:tab/>
        <w:tab/>
        <w:tab/>
        <w:tab/>
        <w:tab/>
        <w:t>Jeffrey M. Parrott</w:t>
      </w:r>
    </w:p>
    <w:p>
      <w:pPr>
        <w:pStyle w:val="Normal"/>
        <w:ind w:start="3600" w:end="0"/>
        <w:rPr>
          <w:rFonts w:ascii="Bookman Old Style" w:hAnsi="Bookman Old Style" w:cs="Bookman Old Style"/>
          <w:sz w:val="24"/>
        </w:rPr>
      </w:pPr>
      <w:r>
        <w:rPr>
          <w:rFonts w:cs="Bookman Old Style" w:ascii="Bookman Old Style" w:hAnsi="Bookman Old Style"/>
          <w:sz w:val="24"/>
        </w:rPr>
        <w:t>Attorney for Southern California Gas Company</w:t>
      </w:r>
    </w:p>
    <w:p>
      <w:pPr>
        <w:pStyle w:val="Normal"/>
        <w:ind w:start="3600" w:end="0"/>
        <w:rPr>
          <w:rFonts w:ascii="Bookman Old Style" w:hAnsi="Bookman Old Style" w:cs="Bookman Old Style"/>
          <w:sz w:val="24"/>
        </w:rPr>
      </w:pPr>
      <w:r>
        <w:rPr>
          <w:rFonts w:cs="Bookman Old Style" w:ascii="Bookman Old Style" w:hAnsi="Bookman Old Style"/>
          <w:sz w:val="24"/>
        </w:rPr>
      </w:r>
    </w:p>
    <w:p>
      <w:pPr>
        <w:pStyle w:val="Normal"/>
        <w:ind w:start="3600" w:end="0"/>
        <w:rPr>
          <w:rFonts w:ascii="Bookman Old Style" w:hAnsi="Bookman Old Style" w:cs="Bookman Old Style"/>
          <w:sz w:val="24"/>
        </w:rPr>
      </w:pPr>
      <w:r>
        <w:rPr>
          <w:rFonts w:cs="Bookman Old Style" w:ascii="Bookman Old Style" w:hAnsi="Bookman Old Style"/>
          <w:sz w:val="24"/>
        </w:rPr>
      </w:r>
    </w:p>
    <w:p>
      <w:pPr>
        <w:pStyle w:val="Normal"/>
        <w:rPr>
          <w:sz w:val="24"/>
        </w:rPr>
      </w:pPr>
      <w:r>
        <w:rPr>
          <w:sz w:val="24"/>
        </w:rPr>
        <w:t>cc:</w:t>
        <w:tab/>
        <w:t>Commissioner Geoffrey F. Brown</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Administrative Law Judge Carol A. Brown</w:t>
    </w:r>
  </w:p>
  <w:p>
    <w:pPr>
      <w:pStyle w:val="Header"/>
      <w:rPr/>
    </w:pPr>
    <w:r>
      <w:rPr/>
      <w:t>December 13, 2001</w:t>
    </w:r>
  </w:p>
  <w:p>
    <w:pPr>
      <w:pStyle w:val="Header"/>
      <w:rPr/>
    </w:pPr>
    <w:r>
      <w:rPr/>
      <w:t>Page Two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2001-12-13T14:00:00Z</dcterms:created>
  <dc:creator/>
  <dc:description/>
  <dc:language>en-CA</dc:language>
  <cp:lastModifiedBy>Annie Ruiz</cp:lastModifiedBy>
  <cp:lastPrinted>2001-12-13T16:22:00Z</cp:lastPrinted>
  <dcterms:modified xsi:type="dcterms:W3CDTF">2001-12-13T22:19:00Z</dcterms:modified>
  <cp:revision>6</cp:revision>
  <dc:subject/>
  <dc:title/>
</cp:coreProperties>
</file>